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 xml:space="preserve">STUDY </w:t>
            </w:r>
            <w:proofErr w:type="spellStart"/>
            <w:r>
              <w:rPr>
                <w:rFonts w:ascii="Calibri" w:hAnsi="Calibri" w:cs="Calibri"/>
              </w:rPr>
              <w:t>PROGRAMME</w:t>
            </w:r>
            <w:proofErr w:type="spellEnd"/>
            <w:r w:rsidR="004B0186">
              <w:rPr>
                <w:rFonts w:ascii="Calibri" w:hAnsi="Calibri" w:cs="Calibri"/>
              </w:rPr>
              <w:t xml:space="preserve"> </w:t>
            </w:r>
            <w:r w:rsidR="005B5B18">
              <w:rPr>
                <w:rFonts w:ascii="Calibri" w:hAnsi="Calibri" w:cs="Calibri"/>
              </w:rPr>
              <w:t>English Language and Literature</w:t>
            </w:r>
          </w:p>
          <w:p w:rsidR="00EB59AF" w:rsidRPr="00714366" w:rsidRDefault="00EB59AF" w:rsidP="00714366">
            <w:pPr>
              <w:rPr>
                <w:rFonts w:ascii="Calibri" w:hAnsi="Calibri" w:cs="Calibri"/>
              </w:rPr>
            </w:pPr>
          </w:p>
        </w:tc>
      </w:tr>
      <w:tr w:rsidR="005D7B91" w:rsidTr="00714366">
        <w:tc>
          <w:tcPr>
            <w:tcW w:w="9396" w:type="dxa"/>
            <w:gridSpan w:val="3"/>
          </w:tcPr>
          <w:p w:rsidR="005D7B91" w:rsidRPr="0007245F" w:rsidRDefault="005D7B91" w:rsidP="004B0186">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4B0186" w:rsidRPr="004B0186">
              <w:rPr>
                <w:rFonts w:ascii="Calibri" w:hAnsi="Calibri" w:cs="Calibri"/>
                <w:color w:val="000000" w:themeColor="text1"/>
              </w:rPr>
              <w:t>B</w:t>
            </w:r>
            <w:r w:rsidR="004B0186">
              <w:rPr>
                <w:rFonts w:ascii="Calibri" w:hAnsi="Calibri" w:cs="Calibri"/>
                <w:color w:val="000000" w:themeColor="text1"/>
              </w:rPr>
              <w:t>A, Year 2 and 3</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r w:rsidR="005B5B18">
              <w:rPr>
                <w:rFonts w:ascii="Calibri" w:hAnsi="Calibri" w:cs="Calibri"/>
              </w:rPr>
              <w:t xml:space="preserve"> </w:t>
            </w:r>
            <w:r w:rsidR="005B5B18">
              <w:t xml:space="preserve"> </w:t>
            </w:r>
            <w:r w:rsidR="004B0186">
              <w:t>Anthropocene in British and Australian Fiction and Film</w:t>
            </w:r>
          </w:p>
          <w:p w:rsidR="00A01504" w:rsidRPr="00714366" w:rsidRDefault="00A01504" w:rsidP="00714366">
            <w:pPr>
              <w:rPr>
                <w:rFonts w:ascii="Calibri" w:hAnsi="Calibri" w:cs="Calibri"/>
              </w:rPr>
            </w:pPr>
          </w:p>
        </w:tc>
      </w:tr>
      <w:tr w:rsidR="005D7B91" w:rsidTr="00714366">
        <w:tc>
          <w:tcPr>
            <w:tcW w:w="9396" w:type="dxa"/>
            <w:gridSpan w:val="3"/>
          </w:tcPr>
          <w:p w:rsidR="00EB59AF" w:rsidRPr="004B0186" w:rsidRDefault="005D7B91" w:rsidP="005B5B18">
            <w:pPr>
              <w:rPr>
                <w:rFonts w:ascii="Calibri" w:hAnsi="Calibri" w:cs="Calibri"/>
                <w:color w:val="000000" w:themeColor="text1"/>
              </w:rPr>
            </w:pPr>
            <w:r w:rsidRPr="004B0186">
              <w:rPr>
                <w:rFonts w:ascii="Calibri" w:hAnsi="Calibri" w:cs="Calibri"/>
                <w:color w:val="000000" w:themeColor="text1"/>
              </w:rPr>
              <w:t>Course Description:</w:t>
            </w:r>
            <w:r w:rsidR="005B5B18" w:rsidRPr="004B0186">
              <w:rPr>
                <w:rFonts w:ascii="Calibri" w:hAnsi="Calibri" w:cs="Calibri"/>
                <w:color w:val="000000" w:themeColor="text1"/>
              </w:rPr>
              <w:t xml:space="preserve"> </w:t>
            </w:r>
            <w:r w:rsidR="005B5B18" w:rsidRPr="004B0186">
              <w:rPr>
                <w:color w:val="000000" w:themeColor="text1"/>
              </w:rPr>
              <w:t xml:space="preserve"> </w:t>
            </w:r>
            <w:r w:rsidR="004B0186" w:rsidRPr="004B0186">
              <w:rPr>
                <w:color w:val="000000" w:themeColor="text1"/>
              </w:rPr>
              <w:t>We will discuss cultural implications of the Anthropocene, a new geological era in which humans have become a geological force on a planetary scale to be reckoned with. Starting with Timothy Morton’s claim that man is “the detective and the criminal” (</w:t>
            </w:r>
            <w:r w:rsidR="004B0186" w:rsidRPr="004B0186">
              <w:rPr>
                <w:rStyle w:val="Emphasis"/>
                <w:color w:val="000000" w:themeColor="text1"/>
              </w:rPr>
              <w:t>Dark Ecology</w:t>
            </w:r>
            <w:r w:rsidR="004B0186" w:rsidRPr="004B0186">
              <w:rPr>
                <w:color w:val="000000" w:themeColor="text1"/>
              </w:rPr>
              <w:t xml:space="preserve">, 2017), we will consider a selection of British and Australian novels which </w:t>
            </w:r>
            <w:proofErr w:type="spellStart"/>
            <w:r w:rsidR="004B0186" w:rsidRPr="004B0186">
              <w:rPr>
                <w:color w:val="000000" w:themeColor="text1"/>
              </w:rPr>
              <w:t>fictionalise</w:t>
            </w:r>
            <w:proofErr w:type="spellEnd"/>
            <w:r w:rsidR="004B0186" w:rsidRPr="004B0186">
              <w:rPr>
                <w:color w:val="000000" w:themeColor="text1"/>
              </w:rPr>
              <w:t xml:space="preserve"> and project into the future a series of issues affecting the prese</w:t>
            </w:r>
            <w:bookmarkStart w:id="0" w:name="_GoBack"/>
            <w:bookmarkEnd w:id="0"/>
            <w:r w:rsidR="004B0186" w:rsidRPr="004B0186">
              <w:rPr>
                <w:color w:val="000000" w:themeColor="text1"/>
              </w:rPr>
              <w:t>nt climate and our planet: fossil fuel burning, global warming, decreased biological diversity, global population increase, climate refugees. The selected works use satire and irony, and since they are voiced from different cultural, ethnic and gender positions, they offer different recipes for avoiding/surviving the end of the world.</w:t>
            </w:r>
          </w:p>
        </w:tc>
      </w:tr>
      <w:tr w:rsidR="005D7B91" w:rsidTr="00714366">
        <w:tc>
          <w:tcPr>
            <w:tcW w:w="9396" w:type="dxa"/>
            <w:gridSpan w:val="3"/>
          </w:tcPr>
          <w:p w:rsidR="005D7B91" w:rsidRPr="004B0186" w:rsidRDefault="005D7B91" w:rsidP="006A1071">
            <w:pPr>
              <w:rPr>
                <w:rFonts w:ascii="Calibri" w:hAnsi="Calibri" w:cs="Calibri"/>
                <w:color w:val="000000" w:themeColor="text1"/>
              </w:rPr>
            </w:pPr>
            <w:r w:rsidRPr="004B0186">
              <w:rPr>
                <w:rFonts w:ascii="Calibri" w:hAnsi="Calibri" w:cs="Calibri"/>
                <w:color w:val="000000" w:themeColor="text1"/>
              </w:rPr>
              <w:t>Semester</w:t>
            </w:r>
            <w:r w:rsidR="007254DF" w:rsidRPr="004B0186">
              <w:rPr>
                <w:rStyle w:val="FootnoteReference"/>
                <w:rFonts w:ascii="Calibri" w:hAnsi="Calibri" w:cs="Calibri"/>
                <w:color w:val="000000" w:themeColor="text1"/>
              </w:rPr>
              <w:footnoteReference w:id="2"/>
            </w:r>
            <w:r w:rsidRPr="004B0186">
              <w:rPr>
                <w:rFonts w:ascii="Calibri" w:hAnsi="Calibri" w:cs="Calibri"/>
                <w:color w:val="000000" w:themeColor="text1"/>
              </w:rPr>
              <w:t>:</w:t>
            </w:r>
            <w:r w:rsidR="0007245F" w:rsidRPr="004B0186">
              <w:rPr>
                <w:rFonts w:ascii="Calibri" w:hAnsi="Calibri" w:cs="Calibri"/>
                <w:color w:val="000000" w:themeColor="text1"/>
              </w:rPr>
              <w:t xml:space="preserve"> </w:t>
            </w:r>
            <w:r w:rsidR="006A1071">
              <w:rPr>
                <w:rFonts w:ascii="Calibri" w:hAnsi="Calibri" w:cs="Calibri"/>
                <w:color w:val="000000" w:themeColor="text1"/>
              </w:rPr>
              <w:t xml:space="preserve">Summer, </w:t>
            </w:r>
            <w:r w:rsidR="006A1071" w:rsidRPr="006A1071">
              <w:rPr>
                <w:rFonts w:ascii="Calibri" w:hAnsi="Calibri" w:cs="Calibri"/>
                <w:b/>
                <w:color w:val="FF0000"/>
              </w:rPr>
              <w:t>2020/21</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5B5B18">
              <w:rPr>
                <w:rFonts w:ascii="Calibri" w:hAnsi="Calibri" w:cs="Calibri"/>
              </w:rPr>
              <w:t xml:space="preserve"> </w:t>
            </w:r>
            <w:r w:rsidR="004B0186">
              <w:rPr>
                <w:rFonts w:ascii="Calibri" w:hAnsi="Calibri" w:cs="Calibri"/>
              </w:rPr>
              <w:t xml:space="preserve">Dr. Iva </w:t>
            </w:r>
            <w:proofErr w:type="spellStart"/>
            <w:r w:rsidR="004B0186">
              <w:rPr>
                <w:rFonts w:ascii="Calibri" w:hAnsi="Calibri" w:cs="Calibri"/>
              </w:rPr>
              <w:t>Polak</w:t>
            </w:r>
            <w:proofErr w:type="spellEnd"/>
            <w:r w:rsidR="004B0186">
              <w:rPr>
                <w:rFonts w:ascii="Calibri" w:hAnsi="Calibri" w:cs="Calibri"/>
              </w:rPr>
              <w:t>, Assoc. Prof.</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5B5B18">
              <w:rPr>
                <w:rFonts w:ascii="Calibri" w:hAnsi="Calibri" w:cs="Calibri"/>
              </w:rPr>
              <w:t xml:space="preserve"> English </w:t>
            </w:r>
          </w:p>
        </w:tc>
      </w:tr>
      <w:tr w:rsidR="007254DF" w:rsidTr="00714366">
        <w:tc>
          <w:tcPr>
            <w:tcW w:w="9396" w:type="dxa"/>
            <w:gridSpan w:val="3"/>
          </w:tcPr>
          <w:p w:rsidR="005B5B18" w:rsidRDefault="007254DF" w:rsidP="005B5B18">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5B5B18">
              <w:rPr>
                <w:rFonts w:ascii="Calibri" w:hAnsi="Calibri" w:cs="Calibri"/>
              </w:rPr>
              <w:t xml:space="preserve"> lecture and seminars,  group work, individual assignments, classroom discussion</w:t>
            </w:r>
          </w:p>
          <w:p w:rsidR="007254DF" w:rsidRDefault="007254DF" w:rsidP="00714366">
            <w:pPr>
              <w:rPr>
                <w:rFonts w:ascii="Calibri" w:hAnsi="Calibri" w:cs="Calibri"/>
              </w:rPr>
            </w:pP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5B5B18" w:rsidP="00714366">
            <w:pPr>
              <w:rPr>
                <w:rFonts w:ascii="Calibri" w:hAnsi="Calibri" w:cs="Calibri"/>
              </w:rPr>
            </w:pPr>
            <w:r>
              <w:rPr>
                <w:rFonts w:ascii="Calibri" w:hAnsi="Calibri" w:cs="Calibri"/>
              </w:rPr>
              <w:t>1</w:t>
            </w:r>
          </w:p>
        </w:tc>
        <w:tc>
          <w:tcPr>
            <w:tcW w:w="3132" w:type="dxa"/>
          </w:tcPr>
          <w:p w:rsidR="00714366" w:rsidRPr="00714366" w:rsidRDefault="005B5B18" w:rsidP="00714366">
            <w:pPr>
              <w:rPr>
                <w:rFonts w:ascii="Calibri" w:hAnsi="Calibri" w:cs="Calibri"/>
              </w:rPr>
            </w:pPr>
            <w:r>
              <w:rPr>
                <w:rFonts w:ascii="Calibri" w:hAnsi="Calibri" w:cs="Calibri"/>
              </w:rPr>
              <w:t>15</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5B5B18" w:rsidP="00714366">
            <w:pPr>
              <w:rPr>
                <w:rFonts w:ascii="Calibri" w:hAnsi="Calibri" w:cs="Calibri"/>
              </w:rPr>
            </w:pPr>
            <w:r>
              <w:rPr>
                <w:rFonts w:ascii="Calibri" w:hAnsi="Calibri" w:cs="Calibri"/>
              </w:rPr>
              <w:t>0</w:t>
            </w:r>
          </w:p>
        </w:tc>
        <w:tc>
          <w:tcPr>
            <w:tcW w:w="3132" w:type="dxa"/>
          </w:tcPr>
          <w:p w:rsidR="00714366" w:rsidRPr="00714366" w:rsidRDefault="005B5B18" w:rsidP="00714366">
            <w:pPr>
              <w:rPr>
                <w:rFonts w:ascii="Calibri" w:hAnsi="Calibri" w:cs="Calibri"/>
              </w:rPr>
            </w:pPr>
            <w:r>
              <w:rPr>
                <w:rFonts w:ascii="Calibri" w:hAnsi="Calibri" w:cs="Calibri"/>
              </w:rPr>
              <w:t>0</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5B5B18" w:rsidP="00714366">
            <w:pPr>
              <w:rPr>
                <w:rFonts w:ascii="Calibri" w:hAnsi="Calibri" w:cs="Calibri"/>
              </w:rPr>
            </w:pPr>
            <w:r>
              <w:rPr>
                <w:rFonts w:ascii="Calibri" w:hAnsi="Calibri" w:cs="Calibri"/>
              </w:rPr>
              <w:t>2</w:t>
            </w:r>
          </w:p>
        </w:tc>
        <w:tc>
          <w:tcPr>
            <w:tcW w:w="3132" w:type="dxa"/>
          </w:tcPr>
          <w:p w:rsidR="00714366" w:rsidRPr="00714366" w:rsidRDefault="005B5B18" w:rsidP="00714366">
            <w:pPr>
              <w:rPr>
                <w:rFonts w:ascii="Calibri" w:hAnsi="Calibri" w:cs="Calibri"/>
              </w:rPr>
            </w:pPr>
            <w:r>
              <w:rPr>
                <w:rFonts w:ascii="Calibri" w:hAnsi="Calibri" w:cs="Calibri"/>
              </w:rPr>
              <w:t>30</w:t>
            </w:r>
          </w:p>
        </w:tc>
      </w:tr>
      <w:tr w:rsidR="00714366" w:rsidTr="00714366">
        <w:tc>
          <w:tcPr>
            <w:tcW w:w="9396" w:type="dxa"/>
            <w:gridSpan w:val="3"/>
          </w:tcPr>
          <w:p w:rsidR="00714366" w:rsidRPr="00714366" w:rsidRDefault="005D7B91" w:rsidP="00714366">
            <w:pPr>
              <w:rPr>
                <w:rFonts w:ascii="Calibri" w:hAnsi="Calibri" w:cs="Calibri"/>
              </w:rPr>
            </w:pPr>
            <w:proofErr w:type="spellStart"/>
            <w:r>
              <w:rPr>
                <w:rFonts w:ascii="Calibri" w:hAnsi="Calibri" w:cs="Calibri"/>
              </w:rPr>
              <w:t>ECTS</w:t>
            </w:r>
            <w:proofErr w:type="spellEnd"/>
            <w:r>
              <w:rPr>
                <w:rFonts w:ascii="Calibri" w:hAnsi="Calibri" w:cs="Calibri"/>
              </w:rPr>
              <w:t>:</w:t>
            </w:r>
            <w:r w:rsidR="005B5B18">
              <w:rPr>
                <w:rFonts w:ascii="Calibri" w:hAnsi="Calibri" w:cs="Calibri"/>
              </w:rPr>
              <w:t xml:space="preserve"> 6</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5B5B18">
              <w:rPr>
                <w:rFonts w:ascii="Calibri" w:hAnsi="Calibri" w:cs="Calibri"/>
              </w:rPr>
              <w:t xml:space="preserve"> English B2</w:t>
            </w:r>
          </w:p>
          <w:p w:rsidR="00C64195" w:rsidRPr="009C6004" w:rsidRDefault="00C64195" w:rsidP="00714366">
            <w:pPr>
              <w:rPr>
                <w:rFonts w:ascii="Calibri" w:hAnsi="Calibri" w:cs="Calibri"/>
              </w:rPr>
            </w:pP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5B5B18">
              <w:rPr>
                <w:rFonts w:ascii="Calibri" w:hAnsi="Calibri" w:cs="Calibri"/>
              </w:rPr>
              <w:t xml:space="preserve"> L2</w:t>
            </w:r>
          </w:p>
          <w:p w:rsidR="00C64195" w:rsidRPr="00BC2B7F" w:rsidRDefault="00C64195" w:rsidP="00714366">
            <w:pPr>
              <w:rPr>
                <w:rFonts w:ascii="Calibri" w:hAnsi="Calibri" w:cs="Calibri"/>
              </w:rPr>
            </w:pPr>
          </w:p>
        </w:tc>
      </w:tr>
      <w:tr w:rsidR="00EB59AF" w:rsidTr="00714366">
        <w:tc>
          <w:tcPr>
            <w:tcW w:w="9396" w:type="dxa"/>
            <w:gridSpan w:val="3"/>
          </w:tcPr>
          <w:p w:rsidR="004B0186" w:rsidRDefault="004B0186" w:rsidP="005B5B18">
            <w:pPr>
              <w:rPr>
                <w:rFonts w:ascii="Calibri" w:hAnsi="Calibri" w:cs="Calibri"/>
              </w:rPr>
            </w:pPr>
          </w:p>
          <w:p w:rsidR="004B0186" w:rsidRDefault="004B0186" w:rsidP="005B5B18">
            <w:pPr>
              <w:rPr>
                <w:rFonts w:ascii="Calibri" w:hAnsi="Calibri" w:cs="Calibri"/>
              </w:rPr>
            </w:pPr>
          </w:p>
          <w:p w:rsidR="004B0186" w:rsidRDefault="004B0186" w:rsidP="005B5B18">
            <w:pPr>
              <w:rPr>
                <w:rFonts w:ascii="Calibri" w:hAnsi="Calibri" w:cs="Calibri"/>
              </w:rPr>
            </w:pPr>
          </w:p>
          <w:p w:rsidR="004B0186" w:rsidRDefault="004B0186" w:rsidP="005B5B18">
            <w:pPr>
              <w:rPr>
                <w:rFonts w:ascii="Calibri" w:hAnsi="Calibri" w:cs="Calibri"/>
              </w:rPr>
            </w:pPr>
          </w:p>
          <w:p w:rsidR="004B0186" w:rsidRDefault="003804F7" w:rsidP="004B0186">
            <w:r w:rsidRPr="003B1E7C">
              <w:rPr>
                <w:rFonts w:ascii="Calibri" w:hAnsi="Calibri" w:cs="Calibri"/>
              </w:rPr>
              <w:lastRenderedPageBreak/>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5B5B18">
              <w:rPr>
                <w:rFonts w:ascii="Calibri" w:hAnsi="Calibri" w:cs="Calibri"/>
              </w:rPr>
              <w:t xml:space="preserve"> </w:t>
            </w:r>
            <w:r w:rsidR="005B5B18" w:rsidRPr="00CE4E40">
              <w:rPr>
                <w:rFonts w:ascii="Calibri" w:hAnsi="Calibri" w:cs="Calibri"/>
              </w:rPr>
              <w:t xml:space="preserve"> </w:t>
            </w:r>
            <w:r w:rsidR="004B0186">
              <w:t xml:space="preserve">The final grade is based on </w:t>
            </w:r>
            <w:r w:rsidR="004B0186" w:rsidRPr="004B0186">
              <w:t>continuous assessment</w:t>
            </w:r>
            <w:r w:rsidR="004B0186">
              <w:t xml:space="preserve"> which includes regular attendance (max. 4 unattended classes), preparation for and participation in class, writing small assignments, timely submission of the final paper, and obligatory sitting for midterm and </w:t>
            </w:r>
            <w:proofErr w:type="spellStart"/>
            <w:r w:rsidR="004B0186">
              <w:t>endterm</w:t>
            </w:r>
            <w:proofErr w:type="spellEnd"/>
            <w:r w:rsidR="004B0186">
              <w:t xml:space="preserve"> exam. The paper is worth 35%, midterm and </w:t>
            </w:r>
            <w:proofErr w:type="spellStart"/>
            <w:r w:rsidR="004B0186">
              <w:t>endterm</w:t>
            </w:r>
            <w:proofErr w:type="spellEnd"/>
            <w:r w:rsidR="004B0186">
              <w:t xml:space="preserve"> exams are worth 50% and other elements of continuous assessment are worth 15% of the final grade. Students must meet </w:t>
            </w:r>
            <w:r w:rsidR="004B0186">
              <w:rPr>
                <w:u w:val="single"/>
              </w:rPr>
              <w:t>all</w:t>
            </w:r>
            <w:r w:rsidR="004B0186">
              <w:t xml:space="preserve"> requirements of continuous assessment.</w:t>
            </w:r>
          </w:p>
          <w:p w:rsidR="00EB59AF" w:rsidRDefault="005B5B18" w:rsidP="004B0186">
            <w:pPr>
              <w:rPr>
                <w:rFonts w:ascii="Calibri" w:hAnsi="Calibri" w:cs="Calibri"/>
              </w:rPr>
            </w:pPr>
            <w:r>
              <w:rPr>
                <w:rFonts w:ascii="Calibri" w:hAnsi="Calibri" w:cs="Calibri"/>
              </w:rPr>
              <w:t xml:space="preserve">Standard grading. </w:t>
            </w:r>
          </w:p>
        </w:tc>
      </w:tr>
      <w:tr w:rsidR="00714366" w:rsidTr="00714366">
        <w:tc>
          <w:tcPr>
            <w:tcW w:w="9396" w:type="dxa"/>
            <w:gridSpan w:val="3"/>
          </w:tcPr>
          <w:p w:rsidR="00EB59AF" w:rsidRPr="00714366" w:rsidRDefault="005D7B91" w:rsidP="005B5B18">
            <w:pPr>
              <w:rPr>
                <w:rFonts w:ascii="Calibri" w:hAnsi="Calibri" w:cs="Calibri"/>
              </w:rPr>
            </w:pPr>
            <w:r>
              <w:rPr>
                <w:rFonts w:ascii="Calibri" w:hAnsi="Calibri" w:cs="Calibri"/>
              </w:rPr>
              <w:lastRenderedPageBreak/>
              <w:t>Learning Outcomes:</w:t>
            </w:r>
            <w:r w:rsidR="005B5B18">
              <w:rPr>
                <w:rFonts w:ascii="Calibri" w:hAnsi="Calibri" w:cs="Calibri"/>
              </w:rPr>
              <w:t xml:space="preserve"> </w:t>
            </w:r>
            <w:r w:rsidR="004B0186">
              <w:t xml:space="preserve">Students will get to know the implication of the new geological era and how it has influenced cultural production from the UK and Australia. </w:t>
            </w:r>
          </w:p>
        </w:tc>
      </w:tr>
      <w:tr w:rsidR="00714366" w:rsidTr="00714366">
        <w:tc>
          <w:tcPr>
            <w:tcW w:w="9396" w:type="dxa"/>
            <w:gridSpan w:val="3"/>
          </w:tcPr>
          <w:p w:rsidR="005B5B18" w:rsidRDefault="00EB59AF" w:rsidP="00714366">
            <w:r>
              <w:rPr>
                <w:rFonts w:ascii="Calibri" w:hAnsi="Calibri" w:cs="Calibri"/>
              </w:rPr>
              <w:t>Literature:</w:t>
            </w:r>
            <w:r w:rsidR="005B5B18">
              <w:rPr>
                <w:rFonts w:ascii="Calibri" w:hAnsi="Calibri" w:cs="Calibri"/>
              </w:rPr>
              <w:t xml:space="preserve"> </w:t>
            </w:r>
            <w:r w:rsidR="005B5B18">
              <w:t xml:space="preserve"> </w:t>
            </w:r>
          </w:p>
          <w:p w:rsidR="005B5B18" w:rsidRPr="004B0186" w:rsidRDefault="005B5B18" w:rsidP="00714366">
            <w:pPr>
              <w:rPr>
                <w:b/>
              </w:rPr>
            </w:pPr>
            <w:r w:rsidRPr="004B0186">
              <w:rPr>
                <w:b/>
              </w:rPr>
              <w:t xml:space="preserve">Novels </w:t>
            </w:r>
          </w:p>
          <w:p w:rsidR="004B0186" w:rsidRDefault="004B0186" w:rsidP="00714366">
            <w:r>
              <w:t xml:space="preserve">J. G. Ballard. </w:t>
            </w:r>
            <w:r>
              <w:rPr>
                <w:rStyle w:val="Emphasis"/>
              </w:rPr>
              <w:t xml:space="preserve">High Rise </w:t>
            </w:r>
            <w:r>
              <w:t>(1975)</w:t>
            </w:r>
            <w:r>
              <w:br/>
            </w:r>
            <w:proofErr w:type="spellStart"/>
            <w:r>
              <w:t>Saci</w:t>
            </w:r>
            <w:proofErr w:type="spellEnd"/>
            <w:r>
              <w:t xml:space="preserve"> Lloyd. </w:t>
            </w:r>
            <w:r>
              <w:rPr>
                <w:rStyle w:val="Emphasis"/>
              </w:rPr>
              <w:t>It’s the End of the World As We Know It</w:t>
            </w:r>
            <w:r>
              <w:t xml:space="preserve"> (2015)</w:t>
            </w:r>
            <w:r>
              <w:br/>
              <w:t xml:space="preserve">Jeanette Winterson. </w:t>
            </w:r>
            <w:r>
              <w:rPr>
                <w:rStyle w:val="Emphasis"/>
              </w:rPr>
              <w:t xml:space="preserve">The Stone Gods </w:t>
            </w:r>
            <w:r>
              <w:t>(2007)</w:t>
            </w:r>
            <w:r>
              <w:br/>
              <w:t xml:space="preserve">Mireille </w:t>
            </w:r>
            <w:proofErr w:type="spellStart"/>
            <w:r>
              <w:t>Juchau</w:t>
            </w:r>
            <w:proofErr w:type="spellEnd"/>
            <w:r>
              <w:t xml:space="preserve">. </w:t>
            </w:r>
            <w:r>
              <w:rPr>
                <w:rStyle w:val="Emphasis"/>
              </w:rPr>
              <w:t xml:space="preserve">The World Without Us </w:t>
            </w:r>
            <w:r>
              <w:t>(2015)</w:t>
            </w:r>
            <w:r>
              <w:br/>
              <w:t xml:space="preserve">Alexis Wright: </w:t>
            </w:r>
            <w:r>
              <w:rPr>
                <w:rStyle w:val="Emphasis"/>
              </w:rPr>
              <w:t xml:space="preserve">The Swan Book </w:t>
            </w:r>
            <w:r>
              <w:t>(2013)</w:t>
            </w:r>
          </w:p>
          <w:p w:rsidR="004B0186" w:rsidRDefault="004B0186" w:rsidP="00714366"/>
          <w:p w:rsidR="00A03A1E" w:rsidRDefault="004B0186" w:rsidP="00714366">
            <w:r w:rsidRPr="004B0186">
              <w:rPr>
                <w:b/>
              </w:rPr>
              <w:t>Documentaries</w:t>
            </w:r>
            <w:r>
              <w:t>:</w:t>
            </w:r>
            <w:r>
              <w:br/>
              <w:t xml:space="preserve"> </w:t>
            </w:r>
            <w:r>
              <w:rPr>
                <w:rStyle w:val="Emphasis"/>
              </w:rPr>
              <w:t>The Age of Stupid</w:t>
            </w:r>
            <w:r>
              <w:t xml:space="preserve"> (2009), dir. Franny Armstrong</w:t>
            </w:r>
            <w:r w:rsidR="00A03A1E">
              <w:br/>
            </w:r>
            <w:r>
              <w:t xml:space="preserve"> </w:t>
            </w:r>
            <w:r>
              <w:rPr>
                <w:rStyle w:val="Emphasis"/>
              </w:rPr>
              <w:t>An Inconvenient Truth</w:t>
            </w:r>
            <w:r>
              <w:t xml:space="preserve"> (2006), dir. Davis Guggenheim</w:t>
            </w:r>
          </w:p>
          <w:p w:rsidR="004B0186" w:rsidRDefault="004B0186" w:rsidP="00714366">
            <w:r>
              <w:rPr>
                <w:rStyle w:val="Emphasis"/>
              </w:rPr>
              <w:t>This Changes Everything</w:t>
            </w:r>
            <w:r>
              <w:t xml:space="preserve"> (2015) dir. </w:t>
            </w:r>
            <w:proofErr w:type="spellStart"/>
            <w:r>
              <w:t>Avi</w:t>
            </w:r>
            <w:proofErr w:type="spellEnd"/>
            <w:r>
              <w:t xml:space="preserve"> Levis</w:t>
            </w:r>
          </w:p>
          <w:p w:rsidR="004B0186" w:rsidRDefault="004B0186" w:rsidP="00714366"/>
          <w:p w:rsidR="004B0186" w:rsidRDefault="004B0186" w:rsidP="00714366">
            <w:r w:rsidRPr="004B0186">
              <w:rPr>
                <w:b/>
              </w:rPr>
              <w:t>Film</w:t>
            </w:r>
            <w:r>
              <w:t xml:space="preserve">: </w:t>
            </w:r>
          </w:p>
          <w:p w:rsidR="004B0186" w:rsidRDefault="004B0186" w:rsidP="00714366">
            <w:r>
              <w:rPr>
                <w:rStyle w:val="Emphasis"/>
              </w:rPr>
              <w:t>High Rise</w:t>
            </w:r>
            <w:r>
              <w:t xml:space="preserve"> (2015), dir. Ben Wheatley</w:t>
            </w:r>
          </w:p>
          <w:p w:rsidR="004B0186" w:rsidRDefault="004B0186" w:rsidP="00714366">
            <w:pPr>
              <w:rPr>
                <w:rStyle w:val="Strong"/>
                <w:b w:val="0"/>
              </w:rPr>
            </w:pPr>
          </w:p>
          <w:p w:rsidR="00EB59AF" w:rsidRPr="00714366" w:rsidRDefault="004B0186" w:rsidP="00714366">
            <w:pPr>
              <w:rPr>
                <w:rFonts w:ascii="Calibri" w:hAnsi="Calibri" w:cs="Calibri"/>
              </w:rPr>
            </w:pPr>
            <w:r>
              <w:rPr>
                <w:rStyle w:val="Strong"/>
              </w:rPr>
              <w:t>Critical editions</w:t>
            </w:r>
            <w:r w:rsidR="005B5B18" w:rsidRPr="005B5B18">
              <w:rPr>
                <w:rStyle w:val="Strong"/>
                <w:b w:val="0"/>
              </w:rPr>
              <w:t xml:space="preserve">: </w:t>
            </w:r>
            <w:r w:rsidR="005B5B18" w:rsidRPr="005B5B18">
              <w:br/>
            </w:r>
            <w:r>
              <w:t xml:space="preserve">– </w:t>
            </w:r>
            <w:proofErr w:type="spellStart"/>
            <w:r>
              <w:t>Bhabha</w:t>
            </w:r>
            <w:proofErr w:type="spellEnd"/>
            <w:r>
              <w:t xml:space="preserve">, </w:t>
            </w:r>
            <w:proofErr w:type="spellStart"/>
            <w:r>
              <w:t>Homi</w:t>
            </w:r>
            <w:proofErr w:type="spellEnd"/>
            <w:r>
              <w:t xml:space="preserve"> K. “Notes on </w:t>
            </w:r>
            <w:proofErr w:type="spellStart"/>
            <w:r>
              <w:t>Globalisation</w:t>
            </w:r>
            <w:proofErr w:type="spellEnd"/>
            <w:r>
              <w:t xml:space="preserve"> and Ambivalence”, </w:t>
            </w:r>
            <w:r>
              <w:rPr>
                <w:rStyle w:val="Emphasis"/>
              </w:rPr>
              <w:t>Cultural Politics in a Global Age: Uncertainty, Solidarity and Innovation</w:t>
            </w:r>
            <w:r>
              <w:t xml:space="preserve">, David Held </w:t>
            </w:r>
            <w:proofErr w:type="spellStart"/>
            <w:r>
              <w:t>i</w:t>
            </w:r>
            <w:proofErr w:type="spellEnd"/>
            <w:r>
              <w:t xml:space="preserve"> Henrietta L. Moore (ed.), Oxford </w:t>
            </w:r>
            <w:proofErr w:type="spellStart"/>
            <w:r>
              <w:t>Oneworld</w:t>
            </w:r>
            <w:proofErr w:type="spellEnd"/>
            <w:r>
              <w:t>, 2007: 36-47.</w:t>
            </w:r>
            <w:r>
              <w:br/>
              <w:t xml:space="preserve">– </w:t>
            </w:r>
            <w:proofErr w:type="spellStart"/>
            <w:r>
              <w:t>Braidotti</w:t>
            </w:r>
            <w:proofErr w:type="spellEnd"/>
            <w:r>
              <w:t xml:space="preserve">, </w:t>
            </w:r>
            <w:proofErr w:type="spellStart"/>
            <w:r>
              <w:t>Rosi</w:t>
            </w:r>
            <w:proofErr w:type="spellEnd"/>
            <w:r>
              <w:t xml:space="preserve"> and Maria </w:t>
            </w:r>
            <w:proofErr w:type="spellStart"/>
            <w:r>
              <w:t>Hlavajova</w:t>
            </w:r>
            <w:proofErr w:type="spellEnd"/>
            <w:r>
              <w:t xml:space="preserve"> (eds.) </w:t>
            </w:r>
            <w:proofErr w:type="spellStart"/>
            <w:r>
              <w:rPr>
                <w:rStyle w:val="Emphasis"/>
              </w:rPr>
              <w:t>Posthuman</w:t>
            </w:r>
            <w:proofErr w:type="spellEnd"/>
            <w:r>
              <w:rPr>
                <w:rStyle w:val="Emphasis"/>
              </w:rPr>
              <w:t xml:space="preserve"> Glossary</w:t>
            </w:r>
            <w:r>
              <w:t>, Bloomsbury Academic, 2018. (terminology)</w:t>
            </w:r>
            <w:r>
              <w:br/>
              <w:t xml:space="preserve">– </w:t>
            </w:r>
            <w:proofErr w:type="spellStart"/>
            <w:r>
              <w:t>Chakrabarty</w:t>
            </w:r>
            <w:proofErr w:type="spellEnd"/>
            <w:r>
              <w:t xml:space="preserve">, </w:t>
            </w:r>
            <w:proofErr w:type="spellStart"/>
            <w:r>
              <w:t>Dipesh</w:t>
            </w:r>
            <w:proofErr w:type="spellEnd"/>
            <w:r>
              <w:rPr>
                <w:rStyle w:val="Emphasis"/>
              </w:rPr>
              <w:t xml:space="preserve">. </w:t>
            </w:r>
            <w:r>
              <w:t>“The Climate of History: Four Theses”,</w:t>
            </w:r>
            <w:r>
              <w:rPr>
                <w:rStyle w:val="Emphasis"/>
              </w:rPr>
              <w:t xml:space="preserve"> Critical Inquiry </w:t>
            </w:r>
            <w:r>
              <w:t>35, 2009: 197-222.</w:t>
            </w:r>
            <w:r>
              <w:br/>
              <w:t xml:space="preserve">– Clark, Timothy. </w:t>
            </w:r>
            <w:r>
              <w:rPr>
                <w:rStyle w:val="Emphasis"/>
              </w:rPr>
              <w:t>The Cambridge Introduction to Literature and the Environment</w:t>
            </w:r>
            <w:r>
              <w:t xml:space="preserve"> (Cambridge Introductions to Literature), 2011. (selection)</w:t>
            </w:r>
            <w:r>
              <w:br/>
              <w:t xml:space="preserve">– </w:t>
            </w:r>
            <w:proofErr w:type="spellStart"/>
            <w:r>
              <w:t>Meneley</w:t>
            </w:r>
            <w:proofErr w:type="spellEnd"/>
            <w:r>
              <w:t xml:space="preserve">, </w:t>
            </w:r>
            <w:proofErr w:type="spellStart"/>
            <w:r>
              <w:t>Tobians</w:t>
            </w:r>
            <w:proofErr w:type="spellEnd"/>
            <w:r>
              <w:t xml:space="preserve"> and Jesse Oak Taylor (</w:t>
            </w:r>
            <w:proofErr w:type="spellStart"/>
            <w:r>
              <w:t>eds</w:t>
            </w:r>
            <w:proofErr w:type="spellEnd"/>
            <w:r>
              <w:t xml:space="preserve">). </w:t>
            </w:r>
            <w:r>
              <w:rPr>
                <w:rStyle w:val="Emphasis"/>
              </w:rPr>
              <w:t>Anthropocene Reading: Literary History in Geological Times</w:t>
            </w:r>
            <w:r>
              <w:t xml:space="preserve">. </w:t>
            </w:r>
            <w:proofErr w:type="spellStart"/>
            <w:r>
              <w:t>PennState</w:t>
            </w:r>
            <w:proofErr w:type="spellEnd"/>
            <w:r>
              <w:t xml:space="preserve"> University Press, 2017. (selection)</w:t>
            </w:r>
            <w:r>
              <w:br/>
              <w:t xml:space="preserve">– </w:t>
            </w:r>
            <w:proofErr w:type="spellStart"/>
            <w:r>
              <w:t>Trexler</w:t>
            </w:r>
            <w:proofErr w:type="spellEnd"/>
            <w:r>
              <w:t xml:space="preserve">, Adam. </w:t>
            </w:r>
            <w:r>
              <w:rPr>
                <w:rStyle w:val="Emphasis"/>
              </w:rPr>
              <w:t>Anthropocene Fictions: The Novel in a Time of Climate Change</w:t>
            </w:r>
            <w:r>
              <w:t xml:space="preserve"> (Under the Sign of Nature), University of Virginia Press, 2015. (selection)</w:t>
            </w:r>
            <w:r>
              <w:br/>
              <w:t xml:space="preserve">– Usher, </w:t>
            </w:r>
            <w:proofErr w:type="spellStart"/>
            <w:r>
              <w:t>Phillilp</w:t>
            </w:r>
            <w:proofErr w:type="spellEnd"/>
            <w:r>
              <w:t xml:space="preserve"> John, “ </w:t>
            </w:r>
            <w:proofErr w:type="spellStart"/>
            <w:r>
              <w:t>Untranslating</w:t>
            </w:r>
            <w:proofErr w:type="spellEnd"/>
            <w:r>
              <w:t xml:space="preserve"> the Anthropocene”, </w:t>
            </w:r>
            <w:r>
              <w:rPr>
                <w:rStyle w:val="Emphasis"/>
              </w:rPr>
              <w:t>Diacritics</w:t>
            </w:r>
            <w:r>
              <w:t>, 44:3, 2016: 56-77.</w:t>
            </w:r>
            <w:r>
              <w:rPr>
                <w:rStyle w:val="Strong"/>
              </w:rPr>
              <w:t> </w:t>
            </w:r>
          </w:p>
        </w:tc>
      </w:tr>
    </w:tbl>
    <w:p w:rsidR="00714366" w:rsidRPr="003E03D6" w:rsidRDefault="00714366" w:rsidP="003E03D6">
      <w:pPr>
        <w:jc w:val="center"/>
        <w:rPr>
          <w:b/>
          <w:color w:val="0070C0"/>
          <w:sz w:val="36"/>
          <w:szCs w:val="36"/>
        </w:rPr>
      </w:pP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2A" w:rsidRDefault="0040102A" w:rsidP="00714366">
      <w:pPr>
        <w:spacing w:after="0" w:line="240" w:lineRule="auto"/>
      </w:pPr>
      <w:r>
        <w:separator/>
      </w:r>
    </w:p>
  </w:endnote>
  <w:endnote w:type="continuationSeparator" w:id="0">
    <w:p w:rsidR="0040102A" w:rsidRDefault="0040102A"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2A" w:rsidRDefault="0040102A" w:rsidP="00714366">
      <w:pPr>
        <w:spacing w:after="0" w:line="240" w:lineRule="auto"/>
      </w:pPr>
      <w:r>
        <w:separator/>
      </w:r>
    </w:p>
  </w:footnote>
  <w:footnote w:type="continuationSeparator" w:id="0">
    <w:p w:rsidR="0040102A" w:rsidRDefault="0040102A"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w:t>
      </w:r>
      <w:proofErr w:type="spellStart"/>
      <w:r w:rsidRPr="00D12733">
        <w:rPr>
          <w:lang w:val="hr-HR"/>
        </w:rPr>
        <w:t>CEFR</w:t>
      </w:r>
      <w:proofErr w:type="spellEnd"/>
      <w:r w:rsidRPr="00D12733">
        <w:rPr>
          <w:lang w:val="hr-HR"/>
        </w:rPr>
        <w:t xml:space="preserve">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34999"/>
    <w:rsid w:val="00062C0F"/>
    <w:rsid w:val="0007245F"/>
    <w:rsid w:val="00120BC5"/>
    <w:rsid w:val="00195BAC"/>
    <w:rsid w:val="00230887"/>
    <w:rsid w:val="00297469"/>
    <w:rsid w:val="003804F7"/>
    <w:rsid w:val="00381EEA"/>
    <w:rsid w:val="003B1E7C"/>
    <w:rsid w:val="003E03D6"/>
    <w:rsid w:val="0040102A"/>
    <w:rsid w:val="00465279"/>
    <w:rsid w:val="004B0186"/>
    <w:rsid w:val="00525147"/>
    <w:rsid w:val="005B5B18"/>
    <w:rsid w:val="005D7B91"/>
    <w:rsid w:val="0062222F"/>
    <w:rsid w:val="00662550"/>
    <w:rsid w:val="006632AD"/>
    <w:rsid w:val="00675172"/>
    <w:rsid w:val="006A1071"/>
    <w:rsid w:val="00714366"/>
    <w:rsid w:val="007254DF"/>
    <w:rsid w:val="007E09CB"/>
    <w:rsid w:val="009047B0"/>
    <w:rsid w:val="0092582F"/>
    <w:rsid w:val="00966206"/>
    <w:rsid w:val="00966E70"/>
    <w:rsid w:val="009C6004"/>
    <w:rsid w:val="00A01504"/>
    <w:rsid w:val="00A03A1E"/>
    <w:rsid w:val="00AB04BF"/>
    <w:rsid w:val="00AC000C"/>
    <w:rsid w:val="00AD64A3"/>
    <w:rsid w:val="00BC2B7F"/>
    <w:rsid w:val="00C122B0"/>
    <w:rsid w:val="00C516C8"/>
    <w:rsid w:val="00C64195"/>
    <w:rsid w:val="00CD030E"/>
    <w:rsid w:val="00D06704"/>
    <w:rsid w:val="00D12733"/>
    <w:rsid w:val="00D933EA"/>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93689-E757-447D-A7B1-F997A485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Strong">
    <w:name w:val="Strong"/>
    <w:basedOn w:val="DefaultParagraphFont"/>
    <w:uiPriority w:val="22"/>
    <w:qFormat/>
    <w:rsid w:val="005B5B18"/>
    <w:rPr>
      <w:b/>
      <w:bCs/>
    </w:rPr>
  </w:style>
  <w:style w:type="character" w:styleId="Emphasis">
    <w:name w:val="Emphasis"/>
    <w:basedOn w:val="DefaultParagraphFont"/>
    <w:uiPriority w:val="20"/>
    <w:qFormat/>
    <w:rsid w:val="005B5B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461B-7E07-4CCA-949E-F7EF2C5B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cp:lastModifiedBy>
  <cp:revision>7</cp:revision>
  <cp:lastPrinted>2019-02-18T13:08:00Z</cp:lastPrinted>
  <dcterms:created xsi:type="dcterms:W3CDTF">2019-02-22T12:22:00Z</dcterms:created>
  <dcterms:modified xsi:type="dcterms:W3CDTF">2019-02-27T13:33:00Z</dcterms:modified>
</cp:coreProperties>
</file>