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40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135"/>
        <w:gridCol w:w="3135"/>
        <w:gridCol w:w="3136"/>
      </w:tblGrid>
      <w:tr>
        <w:tblPrEx>
          <w:shd w:val="clear" w:color="auto" w:fill="d0ddef"/>
        </w:tblPrEx>
        <w:trPr>
          <w:trHeight w:val="669"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STUDY PROGRAMME: </w:t>
            </w:r>
            <w:r>
              <w:rPr>
                <w:rtl w:val="0"/>
                <w:lang w:val="en-US"/>
              </w:rPr>
              <w:t>Turcology</w:t>
            </w:r>
            <w:r>
              <w:rPr/>
            </w:r>
          </w:p>
        </w:tc>
      </w:tr>
      <w:tr>
        <w:tblPrEx>
          <w:shd w:val="clear" w:color="auto" w:fill="d0ddef"/>
        </w:tblPrEx>
        <w:trPr>
          <w:trHeight w:val="25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olor w:val="000000"/>
                <w:u w:color="000000"/>
                <w:rtl w:val="0"/>
                <w:lang w:val="en-US"/>
              </w:rPr>
              <w:t xml:space="preserve">Level and Year: </w:t>
            </w:r>
            <w:r>
              <w:rPr>
                <w:color w:val="ff0000"/>
                <w:u w:color="ff0000"/>
                <w:rtl w:val="0"/>
                <w:lang w:val="en-US"/>
              </w:rPr>
              <w:t xml:space="preserve"> </w:t>
            </w:r>
            <w:r>
              <w:rPr>
                <w:color w:val="ff0000"/>
                <w:u w:color="ff0000"/>
                <w:rtl w:val="0"/>
                <w:lang w:val="en-US"/>
              </w:rPr>
              <w:t xml:space="preserve">BA and MA / all years </w:t>
            </w:r>
          </w:p>
        </w:tc>
      </w:tr>
      <w:tr>
        <w:tblPrEx>
          <w:shd w:val="clear" w:color="auto" w:fill="d0ddef"/>
        </w:tblPrEx>
        <w:trPr>
          <w:trHeight w:val="73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Course Title:</w:t>
            </w:r>
            <w:r>
              <w:rPr>
                <w:rtl w:val="0"/>
                <w:lang w:val="en-US"/>
              </w:rPr>
              <w:t xml:space="preserve"> </w:t>
            </w:r>
            <w:r>
              <w:rPr>
                <w:rtl w:val="0"/>
                <w:lang w:val="en-US"/>
              </w:rPr>
              <w:t>Art and Architecture in Safavid, Mughal, and Ottoman Empires in the Early Modern Period</w:t>
            </w:r>
            <w:r>
              <w:rPr/>
            </w:r>
          </w:p>
        </w:tc>
      </w:tr>
      <w:tr>
        <w:tblPrEx>
          <w:shd w:val="clear" w:color="auto" w:fill="d0ddef"/>
        </w:tblPrEx>
        <w:trPr>
          <w:trHeight w:val="265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Course Description:</w:t>
            </w:r>
            <w:r>
              <w:rPr>
                <w:rtl w:val="0"/>
                <w:lang w:val="en-US"/>
              </w:rPr>
              <w:t xml:space="preserve"> </w:t>
            </w:r>
            <w:r>
              <w:rPr>
                <w:rtl w:val="0"/>
                <w:lang w:val="en-US"/>
              </w:rPr>
              <w:t>This course is a comparative overview of the artistic production and cultural practices of three Empires in the Early Modern era: namely, the Ottomans in the Mediterranean, the Safavids in Iran, and the Mughals in India. They shared a Persianate visual and architectonic culture rooted in Ilkhanid and Timurid</w:t>
            </w:r>
            <w:r>
              <w:rPr>
                <w:rtl w:val="0"/>
                <w:lang w:val="en-US"/>
              </w:rPr>
              <w:t>‐</w:t>
            </w:r>
            <w:r>
              <w:rPr>
                <w:rtl w:val="0"/>
                <w:lang w:val="en-US"/>
              </w:rPr>
              <w:t>Turkmen precedents and their legacies were influential in the emergence of modern nation states.</w:t>
            </w:r>
            <w:r>
              <w:rPr>
                <w:rtl w:val="0"/>
                <w:lang w:val="en-US"/>
              </w:rPr>
              <w:t xml:space="preserve"> </w:t>
            </w:r>
            <w:r>
              <w:rPr>
                <w:rtl w:val="0"/>
                <w:lang w:val="en-US"/>
              </w:rPr>
              <w:t>In the early modern period, which is characterized by greater mobility, heightened diplomacy, and increasingly vibrant trade relations, these Islamic empires saw a new consumer culture, gift economy, monumentality in architecture, and urban scale design projects, as well as generally a more specific knowledge production concerning art and architecture. We will look at and contextualize a range of art forms, including arts of the book, ceramics, textiles, and other portable objects, but our focus will be architecture, landscape, and urban design.</w:t>
            </w:r>
          </w:p>
        </w:tc>
      </w:tr>
      <w:tr>
        <w:tblPrEx>
          <w:shd w:val="clear" w:color="auto" w:fill="d0ddef"/>
        </w:tblPrEx>
        <w:trPr>
          <w:trHeight w:val="25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olor w:val="000000"/>
                <w:u w:color="000000"/>
                <w:rtl w:val="0"/>
                <w:lang w:val="en-US"/>
              </w:rPr>
              <w:t>Semester:</w:t>
            </w:r>
            <w:r>
              <w:rPr>
                <w:color w:val="ff0000"/>
                <w:u w:color="ff0000"/>
                <w:rtl w:val="0"/>
                <w:lang w:val="en-US"/>
              </w:rPr>
              <w:t xml:space="preserve"> </w:t>
            </w:r>
            <w:r>
              <w:rPr>
                <w:color w:val="ff0000"/>
                <w:u w:color="ff0000"/>
                <w:rtl w:val="0"/>
                <w:lang w:val="en-US"/>
              </w:rPr>
              <w:t>2nd (summer)</w:t>
            </w:r>
          </w:p>
        </w:tc>
      </w:tr>
      <w:tr>
        <w:tblPrEx>
          <w:shd w:val="clear" w:color="auto" w:fill="d0ddef"/>
        </w:tblPrEx>
        <w:trPr>
          <w:trHeight w:val="49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Lecturer(s)/Teacher(s):</w:t>
            </w:r>
            <w:r>
              <w:rPr>
                <w:rtl w:val="0"/>
                <w:lang w:val="en-US"/>
              </w:rPr>
              <w:t xml:space="preserve"> Zeynep Oguz Kursar</w:t>
            </w:r>
            <w:r>
              <w:rPr/>
            </w:r>
          </w:p>
        </w:tc>
      </w:tr>
      <w:tr>
        <w:tblPrEx>
          <w:shd w:val="clear" w:color="auto" w:fill="d0ddef"/>
        </w:tblPrEx>
        <w:trPr>
          <w:trHeight w:val="25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Teaching Language (regular):</w:t>
            </w:r>
            <w:r>
              <w:rPr>
                <w:rtl w:val="0"/>
                <w:lang w:val="en-US"/>
              </w:rPr>
              <w:t xml:space="preserve"> English</w:t>
            </w:r>
          </w:p>
        </w:tc>
      </w:tr>
      <w:tr>
        <w:tblPrEx>
          <w:shd w:val="clear" w:color="auto" w:fill="d0ddef"/>
        </w:tblPrEx>
        <w:trPr>
          <w:trHeight w:val="145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Teaching Methods (regular):</w:t>
            </w:r>
            <w:r>
              <w:rPr>
                <w:rtl w:val="0"/>
                <w:lang w:val="en-US"/>
              </w:rPr>
              <w:t xml:space="preserve"> </w:t>
            </w:r>
            <w:r>
              <w:rPr>
                <w:rtl w:val="0"/>
                <w:lang w:val="en-US"/>
              </w:rPr>
              <w:t>The lessons will be lectures presented with the aid of electronic visual material. Required readings for each week will be specified at the beginning of the semester. Students are encouraged to participate, read the weekly assignments, and prepare questions and discussion points prior to each class. Each student is required to deliver one presentation (5-10 minutes) of their reflections an additional reading of their choosing.</w:t>
            </w:r>
            <w:r>
              <w:rPr>
                <w:rtl w:val="0"/>
                <w:lang w:val="en-US"/>
              </w:rPr>
              <w:t xml:space="preserve"> Consultations with students will be held during office hours.</w:t>
            </w:r>
          </w:p>
        </w:tc>
      </w:tr>
      <w:tr>
        <w:tblPrEx>
          <w:shd w:val="clear" w:color="auto" w:fill="d0ddef"/>
        </w:tblPrEx>
        <w:trPr>
          <w:trHeight w:val="490" w:hRule="atLeast"/>
        </w:trPr>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Teaching:</w:t>
            </w:r>
          </w:p>
        </w:tc>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Weekly (hours)</w:t>
            </w:r>
          </w:p>
        </w:tc>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Semester (hours)</w:t>
            </w:r>
            <w:r>
              <w:rPr/>
            </w:r>
          </w:p>
        </w:tc>
      </w:tr>
      <w:tr>
        <w:tblPrEx>
          <w:shd w:val="clear" w:color="auto" w:fill="d0ddef"/>
        </w:tblPrEx>
        <w:trPr>
          <w:trHeight w:val="250" w:hRule="atLeast"/>
        </w:trPr>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Lectures:</w:t>
            </w:r>
          </w:p>
        </w:tc>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w:t>
            </w:r>
          </w:p>
        </w:tc>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30</w:t>
            </w:r>
          </w:p>
        </w:tc>
      </w:tr>
      <w:tr>
        <w:tblPrEx>
          <w:shd w:val="clear" w:color="auto" w:fill="d0ddef"/>
        </w:tblPrEx>
        <w:trPr>
          <w:trHeight w:val="250" w:hRule="atLeast"/>
        </w:trPr>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Exercises:</w:t>
            </w:r>
          </w:p>
        </w:tc>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Seminars:</w:t>
            </w:r>
          </w:p>
        </w:tc>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ECTS:</w:t>
            </w:r>
            <w:r>
              <w:rPr>
                <w:rtl w:val="0"/>
                <w:lang w:val="en-US"/>
              </w:rPr>
              <w:t xml:space="preserve"> 3</w:t>
            </w:r>
          </w:p>
        </w:tc>
      </w:tr>
      <w:tr>
        <w:tblPrEx>
          <w:shd w:val="clear" w:color="auto" w:fill="d0ddef"/>
        </w:tblPrEx>
        <w:trPr>
          <w:trHeight w:val="49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Teaching language and level  for guest (exchange) students:</w:t>
            </w:r>
            <w:r>
              <w:rPr>
                <w:rtl w:val="0"/>
                <w:lang w:val="en-US"/>
              </w:rPr>
              <w:t xml:space="preserve"> same as regular</w:t>
            </w:r>
            <w:r>
              <w:rPr/>
            </w:r>
          </w:p>
        </w:tc>
      </w:tr>
      <w:tr>
        <w:tblPrEx>
          <w:shd w:val="clear" w:color="auto" w:fill="d0ddef"/>
        </w:tblPrEx>
        <w:trPr>
          <w:trHeight w:val="49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Teaching Methods for guest (exchange) students:</w:t>
            </w:r>
            <w:r>
              <w:rPr>
                <w:rtl w:val="0"/>
                <w:lang w:val="en-US"/>
              </w:rPr>
              <w:t xml:space="preserve"> same as regular</w:t>
            </w:r>
            <w:r>
              <w:rPr/>
            </w:r>
          </w:p>
        </w:tc>
      </w:tr>
      <w:tr>
        <w:tblPrEx>
          <w:shd w:val="clear" w:color="auto" w:fill="d0ddef"/>
        </w:tblPrEx>
        <w:trPr>
          <w:trHeight w:val="73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Evaluation Methods and Grading:</w:t>
            </w:r>
            <w:r>
              <w:rPr>
                <w:rtl w:val="0"/>
                <w:lang w:val="en-US"/>
              </w:rPr>
              <w:t xml:space="preserve"> </w:t>
            </w:r>
            <w:r>
              <w:rPr>
                <w:rtl w:val="0"/>
                <w:lang w:val="en-US"/>
              </w:rPr>
              <w:t>The final grade is based on attendance and class participation (15%), short presentations (15%), midterm examination (30%) and final examination (40%)</w:t>
            </w:r>
          </w:p>
        </w:tc>
      </w:tr>
      <w:tr>
        <w:tblPrEx>
          <w:shd w:val="clear" w:color="auto" w:fill="d0ddef"/>
        </w:tblPrEx>
        <w:trPr>
          <w:trHeight w:val="169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Learning Outcomes:</w:t>
            </w:r>
            <w:r>
              <w:rPr>
                <w:rtl w:val="0"/>
                <w:lang w:val="en-US"/>
              </w:rPr>
              <w:t xml:space="preserve"> </w:t>
            </w:r>
            <w:r>
              <w:rPr>
                <w:rtl w:val="0"/>
                <w:lang w:val="en-US"/>
              </w:rPr>
              <w:t>By the end of the course the students will be able to recognize and interpret works of Safavid, Mughal, and Ottoman art and architecture; recognize and interpret early modern Islamic cities and relate them to architecture and urban life; expand their understanding of art and architectural history in a way that recognizes global connections with multiple centers; use their knowledge of the art and architecture of the three Empires to better evaluate and appreciate contemporary cultural forms in Iran, India, and the Mediterranean world.</w:t>
            </w:r>
          </w:p>
        </w:tc>
      </w:tr>
      <w:tr>
        <w:tblPrEx>
          <w:shd w:val="clear" w:color="auto" w:fill="d0ddef"/>
        </w:tblPrEx>
        <w:trPr>
          <w:trHeight w:val="970" w:hRule="atLeast"/>
        </w:trPr>
        <w:tc>
          <w:tcPr>
            <w:tcW w:type="dxa" w:w="94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lang w:val="en-US"/>
              </w:rPr>
            </w:pPr>
            <w:r>
              <w:rPr>
                <w:rtl w:val="0"/>
                <w:lang w:val="en-US"/>
              </w:rPr>
              <w:t>Literature:</w:t>
            </w:r>
            <w:r>
              <w:rPr>
                <w:rtl w:val="0"/>
                <w:lang w:val="en-US"/>
              </w:rPr>
              <w:t xml:space="preserve"> </w:t>
            </w:r>
            <w:r>
              <w:rPr>
                <w:rtl w:val="0"/>
                <w:lang w:val="en-US"/>
              </w:rPr>
              <w:t xml:space="preserve">Hillenbrand, R. (1994). </w:t>
            </w:r>
            <w:r>
              <w:rPr>
                <w:i w:val="1"/>
                <w:iCs w:val="1"/>
                <w:rtl w:val="0"/>
                <w:lang w:val="en-US"/>
              </w:rPr>
              <w:t>Islamic Architecture: Form, Function and Meaning</w:t>
            </w:r>
            <w:r>
              <w:rPr>
                <w:rtl w:val="0"/>
                <w:lang w:val="en-US"/>
              </w:rPr>
              <w:t>. Edinburgh University Press.</w:t>
            </w:r>
          </w:p>
          <w:p>
            <w:pPr>
              <w:pStyle w:val="Body"/>
              <w:bidi w:val="0"/>
              <w:spacing w:after="0" w:line="240" w:lineRule="auto"/>
              <w:ind w:left="0" w:right="0" w:firstLine="0"/>
              <w:jc w:val="left"/>
              <w:rPr>
                <w:rtl w:val="0"/>
              </w:rPr>
            </w:pPr>
            <w:r>
              <w:rPr>
                <w:rtl w:val="0"/>
                <w:lang w:val="en-US"/>
              </w:rPr>
              <w:t>Necipo</w:t>
            </w:r>
            <w:r>
              <w:rPr>
                <w:rtl w:val="0"/>
                <w:lang w:val="en-US"/>
              </w:rPr>
              <w:t>ğ</w:t>
            </w:r>
            <w:r>
              <w:rPr>
                <w:rtl w:val="0"/>
                <w:lang w:val="en-US"/>
              </w:rPr>
              <w:t xml:space="preserve">lu, G. and Flood, F. B. (eds.), (2017). </w:t>
            </w:r>
            <w:r>
              <w:rPr>
                <w:i w:val="1"/>
                <w:iCs w:val="1"/>
                <w:rtl w:val="0"/>
                <w:lang w:val="en-US"/>
              </w:rPr>
              <w:t>A Companion to Islamic Art and Architecture</w:t>
            </w:r>
            <w:r>
              <w:rPr>
                <w:i w:val="1"/>
                <w:iCs w:val="1"/>
                <w:rtl w:val="0"/>
              </w:rPr>
              <w:t>.</w:t>
            </w:r>
            <w:r>
              <w:rPr>
                <w:rtl w:val="0"/>
              </w:rPr>
              <w:t xml:space="preserve"> Wiley, </w:t>
            </w:r>
            <w:r>
              <w:rPr>
                <w:rtl w:val="0"/>
                <w:lang w:val="en-US"/>
              </w:rPr>
              <w:t>Blackwell</w:t>
            </w:r>
            <w:r>
              <w:rPr>
                <w:rtl w:val="0"/>
              </w:rPr>
              <w:t xml:space="preserve">, </w:t>
            </w:r>
            <w:r>
              <w:rPr>
                <w:rtl w:val="0"/>
              </w:rPr>
              <w:t>V</w:t>
            </w:r>
            <w:r>
              <w:rPr>
                <w:rtl w:val="0"/>
              </w:rPr>
              <w:t>olume 2.</w:t>
            </w:r>
          </w:p>
        </w:tc>
      </w:tr>
    </w:tbl>
    <w:p>
      <w:pPr>
        <w:pStyle w:val="Body"/>
        <w:jc w:val="center"/>
      </w:pPr>
      <w:r>
        <w:rPr>
          <w:rFonts w:ascii="Calibri" w:cs="Calibri" w:hAnsi="Calibri" w:eastAsia="Calibri"/>
          <w:b w:val="1"/>
          <w:bCs w:val="1"/>
          <w:color w:val="0070c0"/>
          <w:sz w:val="36"/>
          <w:szCs w:val="36"/>
          <w:u w:color="0070c0"/>
          <w:rtl w:val="0"/>
          <w:lang w:val="en-US"/>
        </w:rPr>
        <w:t>COURSE CATALOGUE FOR GUEST (EXCHANGE) STUDENTS</w:t>
      </w:r>
    </w:p>
    <w:sectPr>
      <w:headerReference w:type="default" r:id="rId4"/>
      <w:footerReference w:type="default" r:id="rId5"/>
      <w:pgSz w:w="12240" w:h="15840" w:orient="portrait"/>
      <w:pgMar w:top="709" w:right="1417" w:bottom="142"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