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57" w:rsidRPr="00115457" w:rsidRDefault="00115457" w:rsidP="0011545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Pr="003E03D6">
        <w:rPr>
          <w:b/>
          <w:color w:val="0070C0"/>
          <w:sz w:val="36"/>
          <w:szCs w:val="36"/>
        </w:rPr>
        <w:t>EST (EXCHANGE) STUDENTS</w:t>
      </w:r>
    </w:p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DC7DE1" w:rsidRDefault="00DC7DE1" w:rsidP="00714366">
            <w:pPr>
              <w:rPr>
                <w:rFonts w:ascii="Calibri" w:hAnsi="Calibri" w:cs="Calibri"/>
                <w:i/>
              </w:rPr>
            </w:pPr>
            <w:r w:rsidRPr="00DC7DE1">
              <w:rPr>
                <w:rFonts w:ascii="Calibri" w:hAnsi="Calibri" w:cs="Calibri"/>
                <w:i/>
              </w:rPr>
              <w:t>HUNGARIAN STUDIES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DC7DE1" w:rsidRPr="00DC7DE1">
              <w:rPr>
                <w:rFonts w:ascii="Calibri" w:hAnsi="Calibri" w:cs="Calibri"/>
                <w:i/>
              </w:rPr>
              <w:t>MA</w:t>
            </w:r>
          </w:p>
        </w:tc>
      </w:tr>
      <w:tr w:rsidR="00A01504" w:rsidTr="00FE3833">
        <w:tc>
          <w:tcPr>
            <w:tcW w:w="9396" w:type="dxa"/>
            <w:gridSpan w:val="3"/>
          </w:tcPr>
          <w:p w:rsidR="002C3864" w:rsidRPr="002C3864" w:rsidRDefault="00A01504" w:rsidP="0071436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Course Title:</w:t>
            </w:r>
            <w:r w:rsidR="00DC7DE1">
              <w:rPr>
                <w:rFonts w:ascii="Calibri" w:hAnsi="Calibri" w:cs="Calibri"/>
              </w:rPr>
              <w:t xml:space="preserve"> </w:t>
            </w:r>
            <w:r w:rsidR="002C3864">
              <w:rPr>
                <w:rFonts w:ascii="Calibri" w:hAnsi="Calibri" w:cs="Calibri"/>
                <w:i/>
              </w:rPr>
              <w:t xml:space="preserve">Contrastive </w:t>
            </w:r>
            <w:proofErr w:type="spellStart"/>
            <w:r w:rsidR="002C3864">
              <w:rPr>
                <w:rFonts w:ascii="Calibri" w:hAnsi="Calibri" w:cs="Calibri"/>
                <w:i/>
              </w:rPr>
              <w:t>morphosyntax</w:t>
            </w:r>
            <w:proofErr w:type="spellEnd"/>
            <w:r w:rsidR="002C3864">
              <w:rPr>
                <w:rFonts w:ascii="Calibri" w:hAnsi="Calibri" w:cs="Calibri"/>
                <w:i/>
              </w:rPr>
              <w:t xml:space="preserve"> of the Hungarian language</w:t>
            </w:r>
          </w:p>
          <w:p w:rsidR="00A01504" w:rsidRPr="00714366" w:rsidRDefault="00A01504" w:rsidP="002C3864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115457" w:rsidRDefault="005D7B91" w:rsidP="0071436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115457">
              <w:rPr>
                <w:rFonts w:ascii="Calibri" w:hAnsi="Calibri" w:cs="Calibri"/>
              </w:rPr>
              <w:t xml:space="preserve"> </w:t>
            </w:r>
            <w:r w:rsidR="00115457" w:rsidRPr="00115457">
              <w:rPr>
                <w:rFonts w:ascii="Calibri" w:hAnsi="Calibri" w:cs="Calibri"/>
                <w:i/>
              </w:rPr>
              <w:t xml:space="preserve">The course focuses to the most relevant  </w:t>
            </w:r>
            <w:proofErr w:type="spellStart"/>
            <w:r w:rsidR="00115457" w:rsidRPr="00115457">
              <w:rPr>
                <w:rFonts w:ascii="Calibri" w:hAnsi="Calibri" w:cs="Calibri"/>
                <w:i/>
              </w:rPr>
              <w:t>morpho</w:t>
            </w:r>
            <w:proofErr w:type="spellEnd"/>
            <w:r w:rsidR="00115457" w:rsidRPr="00115457">
              <w:rPr>
                <w:rFonts w:ascii="Calibri" w:hAnsi="Calibri" w:cs="Calibri"/>
                <w:i/>
              </w:rPr>
              <w:t xml:space="preserve">-syntactical features of the Hungarian language </w:t>
            </w:r>
            <w:r w:rsidR="00115457">
              <w:rPr>
                <w:rFonts w:ascii="Calibri" w:hAnsi="Calibri" w:cs="Calibri"/>
                <w:i/>
              </w:rPr>
              <w:t>that count as</w:t>
            </w:r>
            <w:r w:rsidR="00115457" w:rsidRPr="00115457">
              <w:rPr>
                <w:rFonts w:ascii="Calibri" w:hAnsi="Calibri" w:cs="Calibri"/>
                <w:i/>
              </w:rPr>
              <w:t xml:space="preserve"> main </w:t>
            </w:r>
            <w:proofErr w:type="spellStart"/>
            <w:r w:rsidR="00115457" w:rsidRPr="00115457">
              <w:rPr>
                <w:rFonts w:ascii="Calibri" w:hAnsi="Calibri" w:cs="Calibri"/>
                <w:i/>
              </w:rPr>
              <w:t>specialities</w:t>
            </w:r>
            <w:proofErr w:type="spellEnd"/>
            <w:r w:rsidR="00115457" w:rsidRPr="00115457">
              <w:rPr>
                <w:rFonts w:ascii="Calibri" w:hAnsi="Calibri" w:cs="Calibri"/>
                <w:i/>
              </w:rPr>
              <w:t xml:space="preserve"> </w:t>
            </w:r>
            <w:r w:rsidR="00115457">
              <w:rPr>
                <w:rFonts w:ascii="Calibri" w:hAnsi="Calibri" w:cs="Calibri"/>
                <w:i/>
              </w:rPr>
              <w:t xml:space="preserve">in the </w:t>
            </w:r>
            <w:r w:rsidR="00115457" w:rsidRPr="00115457">
              <w:rPr>
                <w:rFonts w:ascii="Calibri" w:hAnsi="Calibri" w:cs="Calibri"/>
                <w:i/>
              </w:rPr>
              <w:t>context of other European languages</w:t>
            </w:r>
            <w:r w:rsidR="00115457">
              <w:rPr>
                <w:rFonts w:ascii="Calibri" w:hAnsi="Calibri" w:cs="Calibri"/>
                <w:i/>
              </w:rPr>
              <w:t xml:space="preserve">, and  </w:t>
            </w:r>
            <w:r w:rsidR="00115457" w:rsidRPr="00115457">
              <w:rPr>
                <w:rFonts w:ascii="Calibri" w:hAnsi="Calibri" w:cs="Calibri"/>
                <w:i/>
              </w:rPr>
              <w:t xml:space="preserve">that could not have been discussed on the four compulsory grammar courses during the program of the Hungarian studies on the BA-level. </w:t>
            </w:r>
            <w:r w:rsidR="00115457">
              <w:rPr>
                <w:rFonts w:ascii="Calibri" w:hAnsi="Calibri" w:cs="Calibri"/>
                <w:i/>
              </w:rPr>
              <w:t xml:space="preserve">The focused topics are the following: preverbal </w:t>
            </w:r>
            <w:proofErr w:type="spellStart"/>
            <w:r w:rsidR="00115457">
              <w:rPr>
                <w:rFonts w:ascii="Calibri" w:hAnsi="Calibri" w:cs="Calibri"/>
                <w:i/>
              </w:rPr>
              <w:t>modificators</w:t>
            </w:r>
            <w:proofErr w:type="spellEnd"/>
            <w:r w:rsidR="00115457">
              <w:rPr>
                <w:rFonts w:ascii="Calibri" w:hAnsi="Calibri" w:cs="Calibri"/>
                <w:i/>
              </w:rPr>
              <w:t xml:space="preserve"> (“prefixes”), postpositions and syntactical suffixes (suffix type “rag”), articles and the phenomena of the determinedness (incl. the </w:t>
            </w:r>
            <w:proofErr w:type="spellStart"/>
            <w:r w:rsidR="00115457">
              <w:rPr>
                <w:rFonts w:ascii="Calibri" w:hAnsi="Calibri" w:cs="Calibri"/>
                <w:i/>
              </w:rPr>
              <w:t>duble</w:t>
            </w:r>
            <w:proofErr w:type="spellEnd"/>
            <w:r w:rsidR="00115457">
              <w:rPr>
                <w:rFonts w:ascii="Calibri" w:hAnsi="Calibri" w:cs="Calibri"/>
                <w:i/>
              </w:rPr>
              <w:t xml:space="preserve"> conjugation</w:t>
            </w:r>
            <w:proofErr w:type="gramStart"/>
            <w:r w:rsidR="00115457">
              <w:rPr>
                <w:rFonts w:ascii="Calibri" w:hAnsi="Calibri" w:cs="Calibri"/>
                <w:i/>
              </w:rPr>
              <w:t>) ,</w:t>
            </w:r>
            <w:proofErr w:type="gramEnd"/>
            <w:r w:rsidR="00115457">
              <w:rPr>
                <w:rFonts w:ascii="Calibri" w:hAnsi="Calibri" w:cs="Calibri"/>
                <w:i/>
              </w:rPr>
              <w:t xml:space="preserve"> word order.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115457" w:rsidRPr="00115457">
              <w:rPr>
                <w:rFonts w:ascii="Calibri" w:hAnsi="Calibri" w:cs="Calibri"/>
                <w:i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115457">
              <w:rPr>
                <w:rFonts w:ascii="Calibri" w:hAnsi="Calibri" w:cs="Calibri"/>
              </w:rPr>
              <w:t xml:space="preserve"> </w:t>
            </w:r>
            <w:proofErr w:type="spellStart"/>
            <w:r w:rsidR="00115457" w:rsidRPr="00115457">
              <w:rPr>
                <w:rFonts w:ascii="Calibri" w:hAnsi="Calibri" w:cs="Calibri"/>
                <w:i/>
              </w:rPr>
              <w:t>Orsolya</w:t>
            </w:r>
            <w:proofErr w:type="spellEnd"/>
            <w:r w:rsidR="00115457" w:rsidRPr="0011545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115457" w:rsidRPr="00115457">
              <w:rPr>
                <w:rFonts w:ascii="Calibri" w:hAnsi="Calibri" w:cs="Calibri"/>
                <w:i/>
              </w:rPr>
              <w:t>Zagar</w:t>
            </w:r>
            <w:proofErr w:type="spellEnd"/>
            <w:r w:rsidR="00115457" w:rsidRPr="0011545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115457" w:rsidRPr="00115457">
              <w:rPr>
                <w:rFonts w:ascii="Calibri" w:hAnsi="Calibri" w:cs="Calibri"/>
                <w:i/>
              </w:rPr>
              <w:t>Szentesi</w:t>
            </w:r>
            <w:proofErr w:type="spellEnd"/>
            <w:r w:rsidR="00115457" w:rsidRPr="0011545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115457" w:rsidRPr="00115457">
              <w:rPr>
                <w:rFonts w:ascii="Calibri" w:hAnsi="Calibri" w:cs="Calibri"/>
                <w:i/>
              </w:rPr>
              <w:t>Ph.D</w:t>
            </w:r>
            <w:proofErr w:type="spellEnd"/>
            <w:r w:rsidR="00115457" w:rsidRPr="00115457">
              <w:rPr>
                <w:rFonts w:ascii="Calibri" w:hAnsi="Calibri" w:cs="Calibri"/>
                <w:i/>
              </w:rPr>
              <w:t>, associated professor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115457">
              <w:rPr>
                <w:rFonts w:ascii="Calibri" w:hAnsi="Calibri" w:cs="Calibri"/>
              </w:rPr>
              <w:t xml:space="preserve"> </w:t>
            </w:r>
            <w:r w:rsidR="00115457" w:rsidRPr="00115457">
              <w:rPr>
                <w:rFonts w:ascii="Calibri" w:hAnsi="Calibri" w:cs="Calibri"/>
                <w:i/>
              </w:rPr>
              <w:t>Hungarian, partly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Mixed,</w:t>
            </w:r>
            <w:r>
              <w:rPr>
                <w:rFonts w:ascii="Calibri" w:hAnsi="Calibri" w:cs="Calibri"/>
                <w:i/>
              </w:rPr>
              <w:t xml:space="preserve"> but without a field-</w:t>
            </w:r>
            <w:r w:rsidRPr="00115457">
              <w:rPr>
                <w:rFonts w:ascii="Calibri" w:hAnsi="Calibri" w:cs="Calibri"/>
                <w:i/>
              </w:rPr>
              <w:t>work</w:t>
            </w:r>
          </w:p>
        </w:tc>
      </w:tr>
      <w:tr w:rsidR="00714366" w:rsidTr="00FE3833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FE3833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3132" w:type="dxa"/>
          </w:tcPr>
          <w:p w:rsidR="00714366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15</w:t>
            </w:r>
          </w:p>
        </w:tc>
      </w:tr>
      <w:tr w:rsidR="00714366" w:rsidTr="00FE3833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11545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11545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FE3833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3132" w:type="dxa"/>
          </w:tcPr>
          <w:p w:rsidR="00714366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115457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Hungarian, C1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115457" w:rsidRDefault="00115457" w:rsidP="00714366">
            <w:pPr>
              <w:rPr>
                <w:rFonts w:ascii="Calibri" w:hAnsi="Calibri" w:cs="Calibri"/>
                <w:i/>
              </w:rPr>
            </w:pPr>
            <w:r w:rsidRPr="00115457">
              <w:rPr>
                <w:rFonts w:ascii="Calibri" w:hAnsi="Calibri" w:cs="Calibri"/>
                <w:i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115457" w:rsidRDefault="003804F7" w:rsidP="00714366">
            <w:pPr>
              <w:rPr>
                <w:i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115457" w:rsidRPr="00115457">
              <w:t xml:space="preserve"> </w:t>
            </w:r>
            <w:r w:rsidR="00115457" w:rsidRPr="00115457">
              <w:rPr>
                <w:i/>
              </w:rPr>
              <w:t>Class attendance, Presentation, Essay, Oral Exam</w:t>
            </w:r>
            <w:r w:rsidR="00115457">
              <w:rPr>
                <w:i/>
              </w:rPr>
              <w:t xml:space="preserve">, </w:t>
            </w:r>
          </w:p>
          <w:p w:rsidR="00EB59AF" w:rsidRPr="00115457" w:rsidRDefault="00115457" w:rsidP="00714366">
            <w:pPr>
              <w:rPr>
                <w:rFonts w:ascii="Calibri" w:hAnsi="Calibri" w:cs="Calibri"/>
                <w:i/>
              </w:rPr>
            </w:pPr>
            <w:r>
              <w:rPr>
                <w:i/>
              </w:rPr>
              <w:t xml:space="preserve">                                                    </w:t>
            </w:r>
            <w:r w:rsidRPr="00115457">
              <w:rPr>
                <w:i/>
              </w:rPr>
              <w:t>Grading: - the institutional grading system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115457" w:rsidRDefault="005D7B91" w:rsidP="00714366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115457">
              <w:rPr>
                <w:rFonts w:ascii="Calibri" w:hAnsi="Calibri" w:cs="Calibri"/>
              </w:rPr>
              <w:t xml:space="preserve"> </w:t>
            </w:r>
            <w:r w:rsidR="00115457" w:rsidRPr="00115457">
              <w:rPr>
                <w:rFonts w:ascii="Calibri" w:hAnsi="Calibri" w:cs="Calibri"/>
                <w:i/>
              </w:rPr>
              <w:t>Mastering the content of the course detailed above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115457" w:rsidRPr="00115457" w:rsidRDefault="004D0807" w:rsidP="00115457">
            <w:pPr>
              <w:ind w:left="447"/>
              <w:rPr>
                <w:lang w:val="hr-HR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Literatura</w:t>
            </w:r>
            <w:proofErr w:type="spellEnd"/>
            <w:r w:rsidR="00EB59AF" w:rsidRPr="00115457">
              <w:rPr>
                <w:rFonts w:ascii="Calibri" w:hAnsi="Calibri" w:cs="Calibri"/>
              </w:rPr>
              <w:t>:</w:t>
            </w:r>
            <w:r w:rsidR="00115457" w:rsidRPr="00115457">
              <w:rPr>
                <w:rFonts w:ascii="Calibri" w:hAnsi="Calibri" w:cs="Calibri"/>
              </w:rPr>
              <w:t xml:space="preserve"> </w:t>
            </w:r>
          </w:p>
          <w:p w:rsidR="00115457" w:rsidRPr="00115457" w:rsidRDefault="00115457" w:rsidP="004D5055">
            <w:pPr>
              <w:numPr>
                <w:ilvl w:val="0"/>
                <w:numId w:val="1"/>
              </w:numPr>
              <w:ind w:left="447"/>
            </w:pPr>
            <w:r w:rsidRPr="00115457">
              <w:rPr>
                <w:i/>
                <w:lang w:val="hr-HR"/>
              </w:rPr>
              <w:t>Hegedűs Rita</w:t>
            </w:r>
            <w:r w:rsidRPr="00115457">
              <w:rPr>
                <w:i/>
              </w:rPr>
              <w:t xml:space="preserve">: Magyar </w:t>
            </w:r>
            <w:proofErr w:type="spellStart"/>
            <w:r w:rsidRPr="00115457">
              <w:rPr>
                <w:i/>
              </w:rPr>
              <w:t>nyelvtan</w:t>
            </w:r>
            <w:proofErr w:type="spellEnd"/>
            <w:r w:rsidRPr="00115457">
              <w:rPr>
                <w:i/>
              </w:rPr>
              <w:t xml:space="preserve"> – </w:t>
            </w:r>
            <w:proofErr w:type="spellStart"/>
            <w:r w:rsidRPr="00115457">
              <w:rPr>
                <w:i/>
              </w:rPr>
              <w:t>formák</w:t>
            </w:r>
            <w:proofErr w:type="spellEnd"/>
            <w:r w:rsidRPr="00115457">
              <w:rPr>
                <w:i/>
              </w:rPr>
              <w:t xml:space="preserve">, </w:t>
            </w:r>
            <w:proofErr w:type="spellStart"/>
            <w:r w:rsidRPr="00115457">
              <w:rPr>
                <w:i/>
              </w:rPr>
              <w:t>funkciók</w:t>
            </w:r>
            <w:proofErr w:type="spellEnd"/>
            <w:r w:rsidRPr="00115457">
              <w:rPr>
                <w:i/>
              </w:rPr>
              <w:t xml:space="preserve">, </w:t>
            </w:r>
            <w:proofErr w:type="spellStart"/>
            <w:r w:rsidRPr="00115457">
              <w:rPr>
                <w:i/>
              </w:rPr>
              <w:t>összefüggések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Tinta</w:t>
            </w:r>
            <w:proofErr w:type="spellEnd"/>
            <w:r w:rsidRPr="00115457">
              <w:t xml:space="preserve">, 2005. </w:t>
            </w:r>
          </w:p>
          <w:p w:rsidR="00115457" w:rsidRPr="00115457" w:rsidRDefault="00115457" w:rsidP="004D5055">
            <w:pPr>
              <w:ind w:left="447" w:firstLine="348"/>
            </w:pPr>
            <w:r w:rsidRPr="00115457">
              <w:t>(95-1o1.)</w:t>
            </w:r>
          </w:p>
          <w:p w:rsidR="00115457" w:rsidRPr="00115457" w:rsidRDefault="00115457" w:rsidP="004D5055">
            <w:pPr>
              <w:ind w:left="447" w:hanging="282"/>
            </w:pPr>
            <w:r w:rsidRPr="00115457">
              <w:t>-</w:t>
            </w:r>
            <w:r w:rsidRPr="00115457">
              <w:tab/>
            </w:r>
            <w:proofErr w:type="spellStart"/>
            <w:r w:rsidRPr="00115457">
              <w:rPr>
                <w:i/>
              </w:rPr>
              <w:t>Bárczi</w:t>
            </w:r>
            <w:proofErr w:type="spellEnd"/>
            <w:r w:rsidRPr="00115457">
              <w:rPr>
                <w:i/>
              </w:rPr>
              <w:t xml:space="preserve"> G., </w:t>
            </w:r>
            <w:proofErr w:type="spellStart"/>
            <w:r w:rsidRPr="00115457">
              <w:rPr>
                <w:i/>
              </w:rPr>
              <w:t>Benkő</w:t>
            </w:r>
            <w:proofErr w:type="spellEnd"/>
            <w:r w:rsidRPr="00115457">
              <w:rPr>
                <w:i/>
              </w:rPr>
              <w:t xml:space="preserve"> L., </w:t>
            </w:r>
            <w:proofErr w:type="spellStart"/>
            <w:r w:rsidRPr="00115457">
              <w:rPr>
                <w:i/>
              </w:rPr>
              <w:t>Berrár</w:t>
            </w:r>
            <w:proofErr w:type="spellEnd"/>
            <w:r w:rsidRPr="00115457">
              <w:rPr>
                <w:i/>
              </w:rPr>
              <w:t>, J.:</w:t>
            </w:r>
            <w:r w:rsidRPr="00115457">
              <w:t xml:space="preserve"> </w:t>
            </w:r>
            <w:r w:rsidRPr="00115457">
              <w:rPr>
                <w:i/>
              </w:rPr>
              <w:t xml:space="preserve">A </w:t>
            </w:r>
            <w:proofErr w:type="spellStart"/>
            <w:r w:rsidRPr="00115457">
              <w:rPr>
                <w:i/>
              </w:rPr>
              <w:t>magyar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nyelv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története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Tankönyvkiadó</w:t>
            </w:r>
            <w:proofErr w:type="spellEnd"/>
            <w:r w:rsidRPr="00115457">
              <w:t xml:space="preserve"> .... (397-98.)</w:t>
            </w:r>
          </w:p>
          <w:p w:rsidR="00115457" w:rsidRPr="00115457" w:rsidRDefault="00115457" w:rsidP="004D5055">
            <w:pPr>
              <w:numPr>
                <w:ilvl w:val="0"/>
                <w:numId w:val="1"/>
              </w:numPr>
              <w:ind w:left="447"/>
            </w:pPr>
            <w:r w:rsidRPr="00115457">
              <w:rPr>
                <w:lang w:val="hr-HR"/>
              </w:rPr>
              <w:t>Mikes M</w:t>
            </w:r>
            <w:r w:rsidRPr="00115457">
              <w:t xml:space="preserve">., Keck B., S. </w:t>
            </w:r>
            <w:proofErr w:type="spellStart"/>
            <w:r w:rsidRPr="00115457">
              <w:t>Babić</w:t>
            </w:r>
            <w:proofErr w:type="spellEnd"/>
            <w:r w:rsidRPr="00115457">
              <w:t xml:space="preserve">: A </w:t>
            </w:r>
            <w:proofErr w:type="spellStart"/>
            <w:r w:rsidRPr="00115457">
              <w:t>magyar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igekötők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szórendje</w:t>
            </w:r>
            <w:proofErr w:type="spellEnd"/>
            <w:r w:rsidRPr="00115457">
              <w:t xml:space="preserve">. </w:t>
            </w:r>
            <w:proofErr w:type="spellStart"/>
            <w:r w:rsidRPr="00115457">
              <w:rPr>
                <w:i/>
              </w:rPr>
              <w:t>Szórendi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kérdések</w:t>
            </w:r>
            <w:proofErr w:type="spellEnd"/>
            <w:r w:rsidRPr="00115457">
              <w:rPr>
                <w:i/>
              </w:rPr>
              <w:t xml:space="preserve">. </w:t>
            </w:r>
            <w:proofErr w:type="spellStart"/>
            <w:r w:rsidRPr="00115457">
              <w:rPr>
                <w:i/>
              </w:rPr>
              <w:t>Szerbhorvát-magyar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kontrasztív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nyelvtan</w:t>
            </w:r>
            <w:proofErr w:type="spellEnd"/>
            <w:r w:rsidRPr="00115457">
              <w:rPr>
                <w:i/>
              </w:rPr>
              <w:t>.</w:t>
            </w:r>
            <w:r w:rsidRPr="00115457">
              <w:t xml:space="preserve"> </w:t>
            </w:r>
            <w:proofErr w:type="spellStart"/>
            <w:r w:rsidRPr="00115457">
              <w:t>Újvidék</w:t>
            </w:r>
            <w:proofErr w:type="spellEnd"/>
            <w:r w:rsidRPr="00115457">
              <w:t xml:space="preserve">, 1982. (41-47.) </w:t>
            </w:r>
          </w:p>
          <w:p w:rsidR="00115457" w:rsidRPr="00115457" w:rsidRDefault="00115457" w:rsidP="004D5055">
            <w:pPr>
              <w:numPr>
                <w:ilvl w:val="0"/>
                <w:numId w:val="1"/>
              </w:numPr>
              <w:ind w:left="447"/>
            </w:pPr>
            <w:r w:rsidRPr="00115457">
              <w:rPr>
                <w:lang w:val="hr-HR"/>
              </w:rPr>
              <w:t>Péter Mihály</w:t>
            </w:r>
            <w:r w:rsidRPr="00115457">
              <w:t xml:space="preserve">: A </w:t>
            </w:r>
            <w:proofErr w:type="spellStart"/>
            <w:r w:rsidRPr="00115457">
              <w:t>magyar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aspektus</w:t>
            </w:r>
            <w:proofErr w:type="spellEnd"/>
            <w:r w:rsidRPr="00115457">
              <w:t xml:space="preserve"> – </w:t>
            </w:r>
            <w:proofErr w:type="spellStart"/>
            <w:r w:rsidRPr="00115457">
              <w:t>más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aspektusból</w:t>
            </w:r>
            <w:proofErr w:type="spellEnd"/>
            <w:r w:rsidRPr="00115457">
              <w:t xml:space="preserve">. </w:t>
            </w:r>
            <w:proofErr w:type="spellStart"/>
            <w:r w:rsidRPr="00115457">
              <w:rPr>
                <w:i/>
              </w:rPr>
              <w:t>MNy</w:t>
            </w:r>
            <w:proofErr w:type="spellEnd"/>
            <w:r w:rsidRPr="00115457">
              <w:rPr>
                <w:i/>
              </w:rPr>
              <w:t>.</w:t>
            </w:r>
            <w:r w:rsidRPr="00115457">
              <w:t xml:space="preserve"> 1o4. </w:t>
            </w:r>
            <w:proofErr w:type="spellStart"/>
            <w:r w:rsidRPr="00115457">
              <w:t>sz</w:t>
            </w:r>
            <w:proofErr w:type="spellEnd"/>
            <w:r w:rsidRPr="00115457">
              <w:t xml:space="preserve">. (2008). </w:t>
            </w:r>
          </w:p>
          <w:p w:rsidR="00115457" w:rsidRPr="00115457" w:rsidRDefault="00115457" w:rsidP="004D5055">
            <w:pPr>
              <w:ind w:left="447" w:firstLine="348"/>
            </w:pPr>
            <w:r w:rsidRPr="00115457">
              <w:t xml:space="preserve">(1-11.old.) </w:t>
            </w:r>
          </w:p>
          <w:p w:rsidR="00115457" w:rsidRPr="00115457" w:rsidRDefault="00115457" w:rsidP="004D5055">
            <w:pPr>
              <w:ind w:left="447"/>
            </w:pPr>
            <w:r w:rsidRPr="00115457">
              <w:t xml:space="preserve">- </w:t>
            </w:r>
            <w:r>
              <w:rPr>
                <w:i/>
                <w:lang w:val="hr-HR"/>
              </w:rPr>
              <w:t>He</w:t>
            </w:r>
            <w:r w:rsidRPr="00115457">
              <w:rPr>
                <w:i/>
                <w:lang w:val="hr-HR"/>
              </w:rPr>
              <w:t>gedűs Rita</w:t>
            </w:r>
            <w:r w:rsidRPr="00115457">
              <w:rPr>
                <w:i/>
              </w:rPr>
              <w:t xml:space="preserve">: Magyar </w:t>
            </w:r>
            <w:proofErr w:type="spellStart"/>
            <w:r w:rsidRPr="00115457">
              <w:rPr>
                <w:i/>
              </w:rPr>
              <w:t>nyelvtan</w:t>
            </w:r>
            <w:proofErr w:type="spellEnd"/>
            <w:r w:rsidRPr="00115457">
              <w:rPr>
                <w:i/>
              </w:rPr>
              <w:t xml:space="preserve"> – </w:t>
            </w:r>
            <w:proofErr w:type="spellStart"/>
            <w:proofErr w:type="gramStart"/>
            <w:r w:rsidRPr="00115457">
              <w:rPr>
                <w:i/>
              </w:rPr>
              <w:t>formák</w:t>
            </w:r>
            <w:proofErr w:type="spellEnd"/>
            <w:r w:rsidRPr="00115457">
              <w:rPr>
                <w:i/>
              </w:rPr>
              <w:t xml:space="preserve">,  </w:t>
            </w:r>
            <w:proofErr w:type="spellStart"/>
            <w:r w:rsidRPr="00115457">
              <w:rPr>
                <w:i/>
              </w:rPr>
              <w:t>funkciók</w:t>
            </w:r>
            <w:proofErr w:type="spellEnd"/>
            <w:proofErr w:type="gramEnd"/>
            <w:r w:rsidRPr="00115457">
              <w:rPr>
                <w:i/>
              </w:rPr>
              <w:t xml:space="preserve">, </w:t>
            </w:r>
            <w:proofErr w:type="spellStart"/>
            <w:r w:rsidRPr="00115457">
              <w:rPr>
                <w:i/>
              </w:rPr>
              <w:t>összefüggések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Tinta</w:t>
            </w:r>
            <w:proofErr w:type="spellEnd"/>
            <w:r w:rsidRPr="00115457">
              <w:t xml:space="preserve">, 2005. </w:t>
            </w:r>
          </w:p>
          <w:p w:rsidR="00115457" w:rsidRPr="00115457" w:rsidRDefault="00115457" w:rsidP="004D5055">
            <w:pPr>
              <w:ind w:left="447" w:firstLine="360"/>
            </w:pPr>
            <w:r w:rsidRPr="00115457">
              <w:t>(69-94.)</w:t>
            </w:r>
          </w:p>
          <w:p w:rsidR="00115457" w:rsidRPr="00115457" w:rsidRDefault="00115457" w:rsidP="004D5055">
            <w:pPr>
              <w:ind w:left="447"/>
            </w:pPr>
            <w:r w:rsidRPr="00115457">
              <w:t xml:space="preserve">- </w:t>
            </w:r>
            <w:r w:rsidRPr="00115457">
              <w:rPr>
                <w:i/>
              </w:rPr>
              <w:t xml:space="preserve">M. </w:t>
            </w:r>
            <w:proofErr w:type="spellStart"/>
            <w:r w:rsidRPr="00115457">
              <w:rPr>
                <w:i/>
              </w:rPr>
              <w:t>Korchmáros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Valéria</w:t>
            </w:r>
            <w:proofErr w:type="spellEnd"/>
            <w:r w:rsidRPr="00115457">
              <w:rPr>
                <w:i/>
              </w:rPr>
              <w:t xml:space="preserve">: </w:t>
            </w:r>
            <w:proofErr w:type="spellStart"/>
            <w:r w:rsidRPr="00115457">
              <w:rPr>
                <w:i/>
              </w:rPr>
              <w:t>Lépésenként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magyarul</w:t>
            </w:r>
            <w:proofErr w:type="spellEnd"/>
            <w:r w:rsidRPr="00115457">
              <w:rPr>
                <w:i/>
              </w:rPr>
              <w:t xml:space="preserve">. Magyar </w:t>
            </w:r>
            <w:proofErr w:type="spellStart"/>
            <w:r w:rsidRPr="00115457">
              <w:rPr>
                <w:i/>
              </w:rPr>
              <w:t>nyelvtani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kézikönyv</w:t>
            </w:r>
            <w:proofErr w:type="spellEnd"/>
            <w:r w:rsidRPr="00115457">
              <w:t xml:space="preserve">. SZTE </w:t>
            </w:r>
            <w:proofErr w:type="spellStart"/>
            <w:r w:rsidRPr="00115457">
              <w:t>Hungarológiai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Központ</w:t>
            </w:r>
            <w:proofErr w:type="spellEnd"/>
            <w:r w:rsidRPr="00115457">
              <w:t>, 2006. (156-162.)</w:t>
            </w:r>
          </w:p>
          <w:p w:rsidR="00115457" w:rsidRPr="00115457" w:rsidRDefault="00115457" w:rsidP="004D5055">
            <w:pPr>
              <w:ind w:left="164"/>
            </w:pPr>
            <w:r w:rsidRPr="00115457">
              <w:t xml:space="preserve">- </w:t>
            </w:r>
            <w:proofErr w:type="spellStart"/>
            <w:r w:rsidRPr="00115457">
              <w:t>Antal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László</w:t>
            </w:r>
            <w:proofErr w:type="spellEnd"/>
            <w:r w:rsidRPr="00115457">
              <w:t xml:space="preserve">: Rag </w:t>
            </w:r>
            <w:proofErr w:type="spellStart"/>
            <w:r w:rsidRPr="00115457">
              <w:t>és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névutó</w:t>
            </w:r>
            <w:proofErr w:type="spellEnd"/>
            <w:r w:rsidRPr="00115457">
              <w:t xml:space="preserve">. </w:t>
            </w:r>
            <w:r w:rsidRPr="00115457">
              <w:rPr>
                <w:i/>
              </w:rPr>
              <w:t xml:space="preserve">A </w:t>
            </w:r>
            <w:proofErr w:type="spellStart"/>
            <w:r w:rsidRPr="00115457">
              <w:rPr>
                <w:i/>
              </w:rPr>
              <w:t>magyar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esetrendszer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Szak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Kiadó</w:t>
            </w:r>
            <w:proofErr w:type="spellEnd"/>
            <w:r w:rsidRPr="00115457">
              <w:t xml:space="preserve">, 2005., 377-386. </w:t>
            </w:r>
          </w:p>
          <w:p w:rsidR="00115457" w:rsidRPr="00115457" w:rsidRDefault="00115457" w:rsidP="004D5055">
            <w:pPr>
              <w:ind w:left="447" w:firstLine="360"/>
            </w:pPr>
            <w:r w:rsidRPr="00115457">
              <w:t xml:space="preserve">- </w:t>
            </w:r>
            <w:proofErr w:type="spellStart"/>
            <w:r w:rsidRPr="00115457">
              <w:t>Bárczi</w:t>
            </w:r>
            <w:proofErr w:type="spellEnd"/>
            <w:r w:rsidRPr="00115457">
              <w:t xml:space="preserve"> – </w:t>
            </w:r>
            <w:proofErr w:type="spellStart"/>
            <w:r w:rsidRPr="00115457">
              <w:t>Benkő</w:t>
            </w:r>
            <w:proofErr w:type="spellEnd"/>
            <w:r w:rsidRPr="00115457">
              <w:t xml:space="preserve"> – </w:t>
            </w:r>
            <w:proofErr w:type="spellStart"/>
            <w:r w:rsidRPr="00115457">
              <w:t>Berrár</w:t>
            </w:r>
            <w:proofErr w:type="spellEnd"/>
            <w:r w:rsidRPr="00115457">
              <w:t xml:space="preserve">: A </w:t>
            </w:r>
            <w:proofErr w:type="spellStart"/>
            <w:r w:rsidRPr="00115457">
              <w:t>névutók</w:t>
            </w:r>
            <w:proofErr w:type="spellEnd"/>
            <w:r w:rsidRPr="00115457">
              <w:t xml:space="preserve">. </w:t>
            </w:r>
            <w:r w:rsidRPr="00115457">
              <w:rPr>
                <w:i/>
              </w:rPr>
              <w:t xml:space="preserve">A </w:t>
            </w:r>
            <w:proofErr w:type="spellStart"/>
            <w:r w:rsidRPr="00115457">
              <w:rPr>
                <w:i/>
              </w:rPr>
              <w:t>magyar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nyelv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története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Nemzeti</w:t>
            </w:r>
            <w:proofErr w:type="spellEnd"/>
            <w:r w:rsidRPr="00115457">
              <w:t xml:space="preserve"> </w:t>
            </w:r>
            <w:r w:rsidRPr="00115457">
              <w:tab/>
            </w:r>
            <w:proofErr w:type="spellStart"/>
            <w:r w:rsidRPr="00115457">
              <w:t>Tankönyvkiadó</w:t>
            </w:r>
            <w:proofErr w:type="spellEnd"/>
            <w:r w:rsidRPr="00115457">
              <w:t>, 1967., 395-397</w:t>
            </w:r>
            <w:r>
              <w:t>.</w:t>
            </w:r>
          </w:p>
          <w:p w:rsidR="00115457" w:rsidRPr="00115457" w:rsidRDefault="00115457" w:rsidP="004D5055">
            <w:pPr>
              <w:ind w:left="447"/>
            </w:pPr>
            <w:r w:rsidRPr="00115457">
              <w:t xml:space="preserve">- </w:t>
            </w:r>
            <w:proofErr w:type="spellStart"/>
            <w:r w:rsidRPr="00115457">
              <w:t>Antal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László</w:t>
            </w:r>
            <w:proofErr w:type="spellEnd"/>
            <w:r w:rsidRPr="00115457">
              <w:t xml:space="preserve">: </w:t>
            </w:r>
            <w:proofErr w:type="spellStart"/>
            <w:r w:rsidRPr="00115457">
              <w:t>Hány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esete</w:t>
            </w:r>
            <w:proofErr w:type="spellEnd"/>
            <w:r w:rsidRPr="00115457">
              <w:t xml:space="preserve"> van a </w:t>
            </w:r>
            <w:proofErr w:type="spellStart"/>
            <w:r w:rsidRPr="00115457">
              <w:t>magyar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főnévnek</w:t>
            </w:r>
            <w:proofErr w:type="spellEnd"/>
            <w:r w:rsidRPr="00115457">
              <w:t xml:space="preserve">? </w:t>
            </w:r>
            <w:r w:rsidRPr="00115457">
              <w:rPr>
                <w:i/>
              </w:rPr>
              <w:t xml:space="preserve">A </w:t>
            </w:r>
            <w:proofErr w:type="spellStart"/>
            <w:r w:rsidRPr="00115457">
              <w:rPr>
                <w:i/>
              </w:rPr>
              <w:t>magyar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esetrendszer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Szak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Kiadó</w:t>
            </w:r>
            <w:proofErr w:type="spellEnd"/>
            <w:r w:rsidRPr="00115457">
              <w:t xml:space="preserve">, 2005. 283-315. </w:t>
            </w:r>
          </w:p>
          <w:p w:rsidR="00115457" w:rsidRPr="00115457" w:rsidRDefault="00115457" w:rsidP="004D5055">
            <w:pPr>
              <w:ind w:left="447"/>
            </w:pPr>
            <w:r w:rsidRPr="00115457">
              <w:t xml:space="preserve">- </w:t>
            </w:r>
            <w:r w:rsidRPr="00115457">
              <w:rPr>
                <w:i/>
                <w:lang w:val="hr-HR"/>
              </w:rPr>
              <w:t>Hegedűs Rita</w:t>
            </w:r>
            <w:r w:rsidRPr="00115457">
              <w:rPr>
                <w:i/>
              </w:rPr>
              <w:t xml:space="preserve">: Magyar </w:t>
            </w:r>
            <w:proofErr w:type="spellStart"/>
            <w:r w:rsidRPr="00115457">
              <w:rPr>
                <w:i/>
              </w:rPr>
              <w:t>nyelvtan</w:t>
            </w:r>
            <w:proofErr w:type="spellEnd"/>
            <w:r w:rsidRPr="00115457">
              <w:rPr>
                <w:i/>
              </w:rPr>
              <w:t xml:space="preserve"> – </w:t>
            </w:r>
            <w:proofErr w:type="spellStart"/>
            <w:proofErr w:type="gramStart"/>
            <w:r w:rsidRPr="00115457">
              <w:rPr>
                <w:i/>
              </w:rPr>
              <w:t>formák</w:t>
            </w:r>
            <w:proofErr w:type="spellEnd"/>
            <w:r w:rsidRPr="00115457">
              <w:rPr>
                <w:i/>
              </w:rPr>
              <w:t xml:space="preserve">,  </w:t>
            </w:r>
            <w:proofErr w:type="spellStart"/>
            <w:r w:rsidRPr="00115457">
              <w:rPr>
                <w:i/>
              </w:rPr>
              <w:t>funkciók</w:t>
            </w:r>
            <w:proofErr w:type="spellEnd"/>
            <w:proofErr w:type="gramEnd"/>
            <w:r w:rsidRPr="00115457">
              <w:rPr>
                <w:i/>
              </w:rPr>
              <w:t xml:space="preserve">, </w:t>
            </w:r>
            <w:proofErr w:type="spellStart"/>
            <w:r w:rsidRPr="00115457">
              <w:rPr>
                <w:i/>
              </w:rPr>
              <w:t>összefüggések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Tinta</w:t>
            </w:r>
            <w:proofErr w:type="spellEnd"/>
            <w:r w:rsidRPr="00115457">
              <w:t xml:space="preserve">, 2005. </w:t>
            </w:r>
          </w:p>
          <w:p w:rsidR="00115457" w:rsidRPr="00115457" w:rsidRDefault="00115457" w:rsidP="004D5055">
            <w:pPr>
              <w:ind w:left="447" w:firstLine="360"/>
            </w:pPr>
            <w:r w:rsidRPr="00115457">
              <w:t>(122-124., 277-280., 282-284.)</w:t>
            </w:r>
          </w:p>
          <w:p w:rsidR="00115457" w:rsidRPr="00115457" w:rsidRDefault="00115457" w:rsidP="004D5055">
            <w:pPr>
              <w:ind w:left="447"/>
            </w:pPr>
            <w:r w:rsidRPr="00115457">
              <w:t xml:space="preserve">- </w:t>
            </w:r>
            <w:r w:rsidRPr="00115457">
              <w:rPr>
                <w:i/>
              </w:rPr>
              <w:t xml:space="preserve">M. </w:t>
            </w:r>
            <w:proofErr w:type="spellStart"/>
            <w:r w:rsidRPr="00115457">
              <w:rPr>
                <w:i/>
              </w:rPr>
              <w:t>Korchmáros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Valéria</w:t>
            </w:r>
            <w:proofErr w:type="spellEnd"/>
            <w:r w:rsidRPr="00115457">
              <w:rPr>
                <w:i/>
              </w:rPr>
              <w:t xml:space="preserve">: </w:t>
            </w:r>
            <w:proofErr w:type="spellStart"/>
            <w:r w:rsidRPr="00115457">
              <w:rPr>
                <w:i/>
              </w:rPr>
              <w:t>Lépésenként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magyarul</w:t>
            </w:r>
            <w:proofErr w:type="spellEnd"/>
            <w:r w:rsidRPr="00115457">
              <w:rPr>
                <w:i/>
              </w:rPr>
              <w:t xml:space="preserve">. Magyar </w:t>
            </w:r>
            <w:proofErr w:type="spellStart"/>
            <w:r w:rsidRPr="00115457">
              <w:rPr>
                <w:i/>
              </w:rPr>
              <w:t>nyelvtani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kézikönyv</w:t>
            </w:r>
            <w:proofErr w:type="spellEnd"/>
            <w:r w:rsidRPr="00115457">
              <w:t xml:space="preserve">. SZTE </w:t>
            </w:r>
            <w:proofErr w:type="spellStart"/>
            <w:r w:rsidRPr="00115457">
              <w:t>Hungarológiai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Központ</w:t>
            </w:r>
            <w:proofErr w:type="spellEnd"/>
            <w:r w:rsidRPr="00115457">
              <w:t>, 2006. (246-252., 155.)</w:t>
            </w:r>
          </w:p>
          <w:p w:rsidR="00115457" w:rsidRPr="00115457" w:rsidRDefault="00115457" w:rsidP="004D5055">
            <w:pPr>
              <w:ind w:left="447" w:firstLine="360"/>
            </w:pPr>
            <w:r w:rsidRPr="00115457">
              <w:t xml:space="preserve">- </w:t>
            </w:r>
            <w:proofErr w:type="spellStart"/>
            <w:r w:rsidRPr="00115457">
              <w:rPr>
                <w:i/>
              </w:rPr>
              <w:t>KeszlerBorbála</w:t>
            </w:r>
            <w:proofErr w:type="spellEnd"/>
            <w:r w:rsidRPr="00115457">
              <w:rPr>
                <w:i/>
              </w:rPr>
              <w:t xml:space="preserve"> (</w:t>
            </w:r>
            <w:proofErr w:type="spellStart"/>
            <w:r w:rsidRPr="00115457">
              <w:rPr>
                <w:i/>
              </w:rPr>
              <w:t>ed</w:t>
            </w:r>
            <w:proofErr w:type="spellEnd"/>
            <w:r w:rsidRPr="00115457">
              <w:rPr>
                <w:i/>
              </w:rPr>
              <w:t xml:space="preserve">): Magyar </w:t>
            </w:r>
            <w:proofErr w:type="spellStart"/>
            <w:r w:rsidRPr="00115457">
              <w:rPr>
                <w:i/>
              </w:rPr>
              <w:t>grammatika</w:t>
            </w:r>
            <w:proofErr w:type="spellEnd"/>
            <w:r w:rsidRPr="00115457">
              <w:t>. 282-288.</w:t>
            </w:r>
          </w:p>
          <w:p w:rsidR="00115457" w:rsidRPr="00115457" w:rsidRDefault="00115457" w:rsidP="004D5055">
            <w:pPr>
              <w:ind w:left="447"/>
            </w:pPr>
            <w:r w:rsidRPr="00115457">
              <w:t xml:space="preserve">- </w:t>
            </w:r>
            <w:proofErr w:type="spellStart"/>
            <w:r w:rsidRPr="00115457">
              <w:t>Berényi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Mária</w:t>
            </w:r>
            <w:proofErr w:type="spellEnd"/>
            <w:r w:rsidRPr="00115457">
              <w:t xml:space="preserve">: A </w:t>
            </w:r>
            <w:proofErr w:type="spellStart"/>
            <w:r w:rsidRPr="00115457">
              <w:t>határozottság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kifejezésének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egyes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jellegzetességei</w:t>
            </w:r>
            <w:proofErr w:type="spellEnd"/>
            <w:r w:rsidRPr="00115457">
              <w:t xml:space="preserve"> a </w:t>
            </w:r>
            <w:proofErr w:type="spellStart"/>
            <w:r w:rsidRPr="00115457">
              <w:t>magyar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nyelvben</w:t>
            </w:r>
            <w:proofErr w:type="spellEnd"/>
            <w:r w:rsidRPr="00115457">
              <w:t xml:space="preserve">. </w:t>
            </w:r>
            <w:r w:rsidRPr="00115457">
              <w:rPr>
                <w:i/>
              </w:rPr>
              <w:t xml:space="preserve">A </w:t>
            </w:r>
            <w:proofErr w:type="spellStart"/>
            <w:r w:rsidRPr="00115457">
              <w:rPr>
                <w:i/>
              </w:rPr>
              <w:t>magyar</w:t>
            </w:r>
            <w:proofErr w:type="spellEnd"/>
            <w:r w:rsidRPr="00115457">
              <w:rPr>
                <w:i/>
              </w:rPr>
              <w:t xml:space="preserve"> mint </w:t>
            </w:r>
            <w:proofErr w:type="spellStart"/>
            <w:r w:rsidRPr="00115457">
              <w:rPr>
                <w:i/>
              </w:rPr>
              <w:t>idegen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nyelv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oktatásának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módszertana</w:t>
            </w:r>
            <w:proofErr w:type="spellEnd"/>
            <w:r w:rsidRPr="00115457">
              <w:t xml:space="preserve">. </w:t>
            </w:r>
            <w:proofErr w:type="spellStart"/>
            <w:r w:rsidRPr="00115457">
              <w:t>Balassi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Intézet</w:t>
            </w:r>
            <w:proofErr w:type="spellEnd"/>
            <w:r w:rsidRPr="00115457">
              <w:t xml:space="preserve">, 2006., 159-164. </w:t>
            </w:r>
          </w:p>
          <w:p w:rsidR="00115457" w:rsidRPr="00115457" w:rsidRDefault="00115457" w:rsidP="004D5055">
            <w:pPr>
              <w:ind w:left="306"/>
            </w:pPr>
            <w:r>
              <w:t>-</w:t>
            </w:r>
            <w:proofErr w:type="spellStart"/>
            <w:r w:rsidRPr="00115457">
              <w:fldChar w:fldCharType="begin"/>
            </w:r>
            <w:r w:rsidRPr="00115457">
              <w:instrText xml:space="preserve"> HYPERLINK "http://www.c3.hu/~nyelvor/period/1243/124311.htm" </w:instrText>
            </w:r>
            <w:r w:rsidRPr="00115457">
              <w:fldChar w:fldCharType="separate"/>
            </w:r>
            <w:r w:rsidRPr="00115457">
              <w:rPr>
                <w:rStyle w:val="Emphasis"/>
              </w:rPr>
              <w:t>Szili</w:t>
            </w:r>
            <w:proofErr w:type="spellEnd"/>
            <w:r w:rsidRPr="00115457">
              <w:rPr>
                <w:rStyle w:val="Emphasis"/>
              </w:rPr>
              <w:t xml:space="preserve"> </w:t>
            </w:r>
            <w:proofErr w:type="spellStart"/>
            <w:r w:rsidRPr="00115457">
              <w:rPr>
                <w:rStyle w:val="Emphasis"/>
              </w:rPr>
              <w:t>Katalin</w:t>
            </w:r>
            <w:proofErr w:type="spellEnd"/>
            <w:r w:rsidRPr="00115457">
              <w:rPr>
                <w:rStyle w:val="Emphasis"/>
              </w:rPr>
              <w:t>:</w:t>
            </w:r>
            <w:r w:rsidRPr="00115457">
              <w:rPr>
                <w:rStyle w:val="Hyperlink"/>
              </w:rPr>
              <w:t xml:space="preserve"> A </w:t>
            </w:r>
            <w:proofErr w:type="spellStart"/>
            <w:r w:rsidRPr="00115457">
              <w:rPr>
                <w:rStyle w:val="Hyperlink"/>
              </w:rPr>
              <w:t>tárgyasság</w:t>
            </w:r>
            <w:proofErr w:type="spellEnd"/>
            <w:r w:rsidRPr="00115457">
              <w:rPr>
                <w:rStyle w:val="Hyperlink"/>
              </w:rPr>
              <w:t xml:space="preserve"> a </w:t>
            </w:r>
            <w:proofErr w:type="spellStart"/>
            <w:r w:rsidRPr="00115457">
              <w:rPr>
                <w:rStyle w:val="Hyperlink"/>
              </w:rPr>
              <w:t>magyar</w:t>
            </w:r>
            <w:proofErr w:type="spellEnd"/>
            <w:r w:rsidRPr="00115457">
              <w:rPr>
                <w:rStyle w:val="Hyperlink"/>
              </w:rPr>
              <w:t xml:space="preserve"> </w:t>
            </w:r>
            <w:proofErr w:type="spellStart"/>
            <w:r w:rsidRPr="00115457">
              <w:rPr>
                <w:rStyle w:val="Hyperlink"/>
              </w:rPr>
              <w:t>nyelvben</w:t>
            </w:r>
            <w:proofErr w:type="spellEnd"/>
            <w:r w:rsidRPr="00115457">
              <w:rPr>
                <w:rStyle w:val="Hyperlink"/>
              </w:rPr>
              <w:t xml:space="preserve">. A </w:t>
            </w:r>
            <w:proofErr w:type="spellStart"/>
            <w:r w:rsidRPr="00115457">
              <w:rPr>
                <w:rStyle w:val="Hyperlink"/>
              </w:rPr>
              <w:t>tárgyasság</w:t>
            </w:r>
            <w:proofErr w:type="spellEnd"/>
            <w:r w:rsidRPr="00115457">
              <w:rPr>
                <w:rStyle w:val="Hyperlink"/>
              </w:rPr>
              <w:t xml:space="preserve"> </w:t>
            </w:r>
            <w:proofErr w:type="spellStart"/>
            <w:r w:rsidRPr="00115457">
              <w:rPr>
                <w:rStyle w:val="Hyperlink"/>
              </w:rPr>
              <w:t>morfoszintaktikai</w:t>
            </w:r>
            <w:proofErr w:type="spellEnd"/>
            <w:r w:rsidRPr="00115457">
              <w:rPr>
                <w:rStyle w:val="Hyperlink"/>
              </w:rPr>
              <w:t xml:space="preserve"> </w:t>
            </w:r>
            <w:proofErr w:type="spellStart"/>
            <w:r w:rsidRPr="00115457">
              <w:rPr>
                <w:rStyle w:val="Hyperlink"/>
              </w:rPr>
              <w:t>összefüggései</w:t>
            </w:r>
            <w:proofErr w:type="spellEnd"/>
            <w:r w:rsidRPr="00115457">
              <w:fldChar w:fldCharType="end"/>
            </w:r>
            <w:r w:rsidRPr="00115457">
              <w:t xml:space="preserve">. </w:t>
            </w:r>
            <w:proofErr w:type="spellStart"/>
            <w:r w:rsidRPr="00115457">
              <w:rPr>
                <w:i/>
              </w:rPr>
              <w:t>Nyr</w:t>
            </w:r>
            <w:proofErr w:type="spellEnd"/>
            <w:r w:rsidRPr="00115457">
              <w:rPr>
                <w:i/>
              </w:rPr>
              <w:t>.</w:t>
            </w:r>
            <w:r w:rsidRPr="00115457">
              <w:t xml:space="preserve"> (124.) 2000., str. 356-369. </w:t>
            </w:r>
          </w:p>
          <w:p w:rsidR="00115457" w:rsidRPr="00115457" w:rsidRDefault="00115457" w:rsidP="004D5055">
            <w:pPr>
              <w:numPr>
                <w:ilvl w:val="0"/>
                <w:numId w:val="1"/>
              </w:numPr>
              <w:ind w:left="447"/>
            </w:pPr>
            <w:proofErr w:type="spellStart"/>
            <w:r w:rsidRPr="00115457">
              <w:rPr>
                <w:i/>
              </w:rPr>
              <w:t>Szili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Katalin</w:t>
            </w:r>
            <w:proofErr w:type="spellEnd"/>
            <w:r w:rsidRPr="00115457">
              <w:rPr>
                <w:i/>
              </w:rPr>
              <w:t xml:space="preserve">: </w:t>
            </w:r>
            <w:proofErr w:type="spellStart"/>
            <w:r w:rsidRPr="00115457">
              <w:rPr>
                <w:i/>
              </w:rPr>
              <w:t>Vezérkönyv</w:t>
            </w:r>
            <w:proofErr w:type="spellEnd"/>
            <w:r w:rsidRPr="00115457">
              <w:rPr>
                <w:i/>
              </w:rPr>
              <w:t xml:space="preserve"> a </w:t>
            </w:r>
            <w:proofErr w:type="spellStart"/>
            <w:r w:rsidRPr="00115457">
              <w:rPr>
                <w:i/>
              </w:rPr>
              <w:t>magyar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grammatika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tanításához</w:t>
            </w:r>
            <w:proofErr w:type="spellEnd"/>
            <w:r w:rsidRPr="00115457">
              <w:t xml:space="preserve">.  </w:t>
            </w:r>
            <w:proofErr w:type="spellStart"/>
            <w:r w:rsidRPr="00115457">
              <w:t>Enciklopédia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Kiadó</w:t>
            </w:r>
            <w:proofErr w:type="spellEnd"/>
            <w:r w:rsidRPr="00115457">
              <w:t xml:space="preserve">, 2006., 156-160. </w:t>
            </w:r>
          </w:p>
          <w:p w:rsidR="00115457" w:rsidRPr="00115457" w:rsidRDefault="00115457" w:rsidP="004D5055">
            <w:pPr>
              <w:numPr>
                <w:ilvl w:val="0"/>
                <w:numId w:val="1"/>
              </w:numPr>
              <w:ind w:left="447"/>
              <w:rPr>
                <w:lang w:val="hr-HR"/>
              </w:rPr>
            </w:pPr>
            <w:proofErr w:type="spellStart"/>
            <w:r w:rsidRPr="00115457">
              <w:t>Molnár</w:t>
            </w:r>
            <w:proofErr w:type="spellEnd"/>
            <w:r w:rsidRPr="00115457">
              <w:rPr>
                <w:lang w:val="hr-HR"/>
              </w:rPr>
              <w:t>-</w:t>
            </w:r>
            <w:proofErr w:type="spellStart"/>
            <w:r w:rsidRPr="00115457">
              <w:rPr>
                <w:lang w:val="hr-HR"/>
              </w:rPr>
              <w:t>Csikós</w:t>
            </w:r>
            <w:proofErr w:type="spellEnd"/>
            <w:r w:rsidRPr="00115457">
              <w:rPr>
                <w:lang w:val="hr-HR"/>
              </w:rPr>
              <w:t xml:space="preserve"> </w:t>
            </w:r>
            <w:proofErr w:type="spellStart"/>
            <w:r w:rsidRPr="00115457">
              <w:rPr>
                <w:lang w:val="hr-HR"/>
              </w:rPr>
              <w:t>László</w:t>
            </w:r>
            <w:proofErr w:type="spellEnd"/>
            <w:r w:rsidRPr="00115457">
              <w:rPr>
                <w:lang w:val="hr-HR"/>
              </w:rPr>
              <w:t xml:space="preserve">: A </w:t>
            </w:r>
            <w:proofErr w:type="spellStart"/>
            <w:r w:rsidRPr="00115457">
              <w:rPr>
                <w:lang w:val="hr-HR"/>
              </w:rPr>
              <w:t>magyar</w:t>
            </w:r>
            <w:proofErr w:type="spellEnd"/>
            <w:r w:rsidRPr="00115457">
              <w:rPr>
                <w:lang w:val="hr-HR"/>
              </w:rPr>
              <w:t xml:space="preserve"> és a szerbhorvát szórend egybevető vizsgálatának lehetőségei. </w:t>
            </w:r>
            <w:r w:rsidRPr="00115457">
              <w:rPr>
                <w:i/>
                <w:lang w:val="hr-HR"/>
              </w:rPr>
              <w:t>Hungarológiai Közlemények</w:t>
            </w:r>
            <w:r w:rsidRPr="00115457">
              <w:rPr>
                <w:lang w:val="hr-HR"/>
              </w:rPr>
              <w:t xml:space="preserve">  1976. 26-27. sz., 19-26</w:t>
            </w:r>
            <w:r>
              <w:rPr>
                <w:lang w:val="hr-HR"/>
              </w:rPr>
              <w:t>.</w:t>
            </w:r>
          </w:p>
          <w:p w:rsidR="00115457" w:rsidRPr="00115457" w:rsidRDefault="00115457" w:rsidP="004D5055">
            <w:pPr>
              <w:numPr>
                <w:ilvl w:val="0"/>
                <w:numId w:val="1"/>
              </w:numPr>
              <w:ind w:left="447"/>
              <w:rPr>
                <w:lang w:val="hr-HR"/>
              </w:rPr>
            </w:pPr>
            <w:proofErr w:type="spellStart"/>
            <w:r w:rsidRPr="00115457">
              <w:rPr>
                <w:lang w:val="hr-HR"/>
              </w:rPr>
              <w:t>Chik</w:t>
            </w:r>
            <w:r w:rsidRPr="00115457">
              <w:t>án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Ildikó</w:t>
            </w:r>
            <w:proofErr w:type="spellEnd"/>
            <w:r w:rsidRPr="00115457">
              <w:t xml:space="preserve">: </w:t>
            </w:r>
            <w:proofErr w:type="spellStart"/>
            <w:r w:rsidRPr="00115457">
              <w:t>Az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állandósult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szókapcsolatokról</w:t>
            </w:r>
            <w:proofErr w:type="spellEnd"/>
            <w:r w:rsidRPr="00115457">
              <w:t xml:space="preserve">, </w:t>
            </w:r>
            <w:proofErr w:type="spellStart"/>
            <w:r w:rsidRPr="00115457">
              <w:t>különös</w:t>
            </w:r>
            <w:proofErr w:type="spellEnd"/>
            <w:r w:rsidRPr="00115457">
              <w:t xml:space="preserve"> </w:t>
            </w:r>
            <w:proofErr w:type="spellStart"/>
            <w:r w:rsidRPr="00115457">
              <w:t>tekintettel</w:t>
            </w:r>
            <w:proofErr w:type="spellEnd"/>
            <w:r w:rsidRPr="00115457">
              <w:t xml:space="preserve"> a </w:t>
            </w:r>
            <w:proofErr w:type="spellStart"/>
            <w:r w:rsidRPr="00115457">
              <w:t>szórendre</w:t>
            </w:r>
            <w:proofErr w:type="spellEnd"/>
            <w:r w:rsidRPr="00115457">
              <w:t xml:space="preserve">. </w:t>
            </w:r>
            <w:proofErr w:type="spellStart"/>
            <w:r w:rsidRPr="00115457">
              <w:rPr>
                <w:i/>
              </w:rPr>
              <w:t>Intézeti</w:t>
            </w:r>
            <w:proofErr w:type="spellEnd"/>
            <w:r w:rsidRPr="00115457">
              <w:rPr>
                <w:i/>
              </w:rPr>
              <w:t xml:space="preserve"> </w:t>
            </w:r>
            <w:proofErr w:type="spellStart"/>
            <w:r w:rsidRPr="00115457">
              <w:rPr>
                <w:i/>
              </w:rPr>
              <w:t>Szemle</w:t>
            </w:r>
            <w:proofErr w:type="spellEnd"/>
            <w:r w:rsidRPr="00115457">
              <w:t xml:space="preserve">. 1998. 1. </w:t>
            </w:r>
            <w:proofErr w:type="spellStart"/>
            <w:r w:rsidRPr="00115457">
              <w:t>sz</w:t>
            </w:r>
            <w:proofErr w:type="spellEnd"/>
            <w:r w:rsidRPr="00115457">
              <w:t xml:space="preserve">., 14-22. </w:t>
            </w:r>
          </w:p>
          <w:p w:rsidR="00714366" w:rsidRPr="00115457" w:rsidRDefault="00714366" w:rsidP="00115457">
            <w:pPr>
              <w:ind w:left="447"/>
              <w:rPr>
                <w:rFonts w:ascii="Calibri" w:hAnsi="Calibri" w:cs="Calibri"/>
              </w:rPr>
            </w:pPr>
          </w:p>
          <w:p w:rsidR="00115457" w:rsidRPr="00115457" w:rsidRDefault="00115457" w:rsidP="00115457">
            <w:pPr>
              <w:ind w:left="447"/>
              <w:rPr>
                <w:rFonts w:ascii="Calibri" w:hAnsi="Calibri" w:cs="Calibri"/>
              </w:rPr>
            </w:pPr>
          </w:p>
          <w:p w:rsidR="00EB59AF" w:rsidRPr="00115457" w:rsidRDefault="00EB59AF" w:rsidP="00115457">
            <w:pPr>
              <w:ind w:left="447"/>
              <w:rPr>
                <w:rFonts w:ascii="Calibri" w:hAnsi="Calibri" w:cs="Calibri"/>
              </w:rPr>
            </w:pPr>
          </w:p>
        </w:tc>
      </w:tr>
    </w:tbl>
    <w:p w:rsidR="00976ABA" w:rsidRDefault="00976ABA" w:rsidP="00714366">
      <w:bookmarkStart w:id="0" w:name="_GoBack"/>
      <w:bookmarkEnd w:id="0"/>
    </w:p>
    <w:sectPr w:rsidR="00976ABA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A7" w:rsidRDefault="001D0CA7" w:rsidP="00714366">
      <w:pPr>
        <w:spacing w:after="0" w:line="240" w:lineRule="auto"/>
      </w:pPr>
      <w:r>
        <w:separator/>
      </w:r>
    </w:p>
  </w:endnote>
  <w:endnote w:type="continuationSeparator" w:id="0">
    <w:p w:rsidR="001D0CA7" w:rsidRDefault="001D0CA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A7" w:rsidRDefault="001D0CA7" w:rsidP="00714366">
      <w:pPr>
        <w:spacing w:after="0" w:line="240" w:lineRule="auto"/>
      </w:pPr>
      <w:r>
        <w:separator/>
      </w:r>
    </w:p>
  </w:footnote>
  <w:footnote w:type="continuationSeparator" w:id="0">
    <w:p w:rsidR="001D0CA7" w:rsidRDefault="001D0CA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F4E"/>
    <w:multiLevelType w:val="multilevel"/>
    <w:tmpl w:val="BF62B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D3CC2"/>
    <w:multiLevelType w:val="hybridMultilevel"/>
    <w:tmpl w:val="A13E2E92"/>
    <w:lvl w:ilvl="0" w:tplc="4C64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239FD"/>
    <w:rsid w:val="00034999"/>
    <w:rsid w:val="00036C3F"/>
    <w:rsid w:val="0007245F"/>
    <w:rsid w:val="00115457"/>
    <w:rsid w:val="00120BC5"/>
    <w:rsid w:val="001940DC"/>
    <w:rsid w:val="00195BAC"/>
    <w:rsid w:val="001D0CA7"/>
    <w:rsid w:val="00230887"/>
    <w:rsid w:val="00297469"/>
    <w:rsid w:val="002C3864"/>
    <w:rsid w:val="002E7061"/>
    <w:rsid w:val="003804F7"/>
    <w:rsid w:val="00381EEA"/>
    <w:rsid w:val="003B1E7C"/>
    <w:rsid w:val="003C7019"/>
    <w:rsid w:val="003E03D6"/>
    <w:rsid w:val="003F517F"/>
    <w:rsid w:val="00411D84"/>
    <w:rsid w:val="00465279"/>
    <w:rsid w:val="004D0807"/>
    <w:rsid w:val="004D5055"/>
    <w:rsid w:val="00525147"/>
    <w:rsid w:val="005D7B91"/>
    <w:rsid w:val="005F062E"/>
    <w:rsid w:val="0062222F"/>
    <w:rsid w:val="00662550"/>
    <w:rsid w:val="00675172"/>
    <w:rsid w:val="00676ACC"/>
    <w:rsid w:val="006D5EDB"/>
    <w:rsid w:val="00714366"/>
    <w:rsid w:val="007254DF"/>
    <w:rsid w:val="007E09CB"/>
    <w:rsid w:val="008B052F"/>
    <w:rsid w:val="009047B0"/>
    <w:rsid w:val="0092582F"/>
    <w:rsid w:val="00933100"/>
    <w:rsid w:val="00966206"/>
    <w:rsid w:val="00966E70"/>
    <w:rsid w:val="00976ABA"/>
    <w:rsid w:val="009C6004"/>
    <w:rsid w:val="00A01504"/>
    <w:rsid w:val="00A06309"/>
    <w:rsid w:val="00A84FB7"/>
    <w:rsid w:val="00AB04BF"/>
    <w:rsid w:val="00AC000C"/>
    <w:rsid w:val="00AD64A3"/>
    <w:rsid w:val="00B019C0"/>
    <w:rsid w:val="00B23E10"/>
    <w:rsid w:val="00BC2B7F"/>
    <w:rsid w:val="00C122B0"/>
    <w:rsid w:val="00C3502A"/>
    <w:rsid w:val="00C64195"/>
    <w:rsid w:val="00CD030E"/>
    <w:rsid w:val="00D06704"/>
    <w:rsid w:val="00D12733"/>
    <w:rsid w:val="00D91AE8"/>
    <w:rsid w:val="00D933EA"/>
    <w:rsid w:val="00DC7DE1"/>
    <w:rsid w:val="00E05143"/>
    <w:rsid w:val="00E06963"/>
    <w:rsid w:val="00E203E8"/>
    <w:rsid w:val="00E471DE"/>
    <w:rsid w:val="00EB59AF"/>
    <w:rsid w:val="00EF3067"/>
    <w:rsid w:val="00F117E5"/>
    <w:rsid w:val="00F24889"/>
    <w:rsid w:val="00F5786D"/>
    <w:rsid w:val="00F73505"/>
    <w:rsid w:val="00F82DC5"/>
    <w:rsid w:val="00F929BB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1E4"/>
  <w15:docId w15:val="{6680459E-0DE2-4A5B-816D-F9B01DF3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yperlink">
    <w:name w:val="Hyperlink"/>
    <w:rsid w:val="00115457"/>
    <w:rPr>
      <w:color w:val="0000FF"/>
      <w:u w:val="single"/>
    </w:rPr>
  </w:style>
  <w:style w:type="character" w:styleId="Emphasis">
    <w:name w:val="Emphasis"/>
    <w:qFormat/>
    <w:rsid w:val="00115457"/>
    <w:rPr>
      <w:i/>
      <w:iCs/>
    </w:rPr>
  </w:style>
  <w:style w:type="paragraph" w:customStyle="1" w:styleId="m7757719641784326887ydp6491a966msonormal">
    <w:name w:val="m_7757719641784326887ydp6491a966msonormal"/>
    <w:basedOn w:val="Normal"/>
    <w:rsid w:val="0093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046D-5646-48CA-9D6F-A0E2E285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Kristina</cp:lastModifiedBy>
  <cp:revision>4</cp:revision>
  <cp:lastPrinted>2019-02-18T13:08:00Z</cp:lastPrinted>
  <dcterms:created xsi:type="dcterms:W3CDTF">2019-04-17T18:33:00Z</dcterms:created>
  <dcterms:modified xsi:type="dcterms:W3CDTF">2019-04-26T10:33:00Z</dcterms:modified>
</cp:coreProperties>
</file>