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3132"/>
        <w:gridCol w:w="3132"/>
      </w:tblGrid>
      <w:tr w:rsidR="008010A2" w:rsidRPr="002A79D6" w:rsidTr="005E54F5">
        <w:tc>
          <w:tcPr>
            <w:tcW w:w="9396" w:type="dxa"/>
            <w:gridSpan w:val="3"/>
          </w:tcPr>
          <w:p w:rsidR="008010A2" w:rsidRPr="002A79D6" w:rsidRDefault="008010A2" w:rsidP="005E54F5">
            <w:pPr>
              <w:spacing w:after="0" w:line="240" w:lineRule="auto"/>
            </w:pPr>
            <w:r w:rsidRPr="002A79D6">
              <w:t xml:space="preserve">STUDY PROGRAMME: </w:t>
            </w:r>
          </w:p>
          <w:p w:rsidR="008010A2" w:rsidRPr="002A79D6" w:rsidRDefault="008010A2" w:rsidP="005E54F5">
            <w:pPr>
              <w:spacing w:after="0" w:line="240" w:lineRule="auto"/>
            </w:pPr>
            <w:r w:rsidRPr="002A79D6">
              <w:rPr>
                <w:lang w:val="en-GB"/>
              </w:rPr>
              <w:t>Graduate Study of Sociology</w:t>
            </w:r>
          </w:p>
        </w:tc>
      </w:tr>
      <w:tr w:rsidR="008010A2" w:rsidRPr="002A79D6" w:rsidTr="005E54F5">
        <w:tc>
          <w:tcPr>
            <w:tcW w:w="9396" w:type="dxa"/>
            <w:gridSpan w:val="3"/>
          </w:tcPr>
          <w:p w:rsidR="008010A2" w:rsidRPr="002A79D6" w:rsidRDefault="008010A2" w:rsidP="005E54F5">
            <w:pPr>
              <w:spacing w:after="0" w:line="240" w:lineRule="auto"/>
              <w:rPr>
                <w:color w:val="FF0000"/>
              </w:rPr>
            </w:pPr>
            <w:r w:rsidRPr="002A79D6">
              <w:t>Level and Year</w:t>
            </w:r>
            <w:r w:rsidRPr="002A79D6">
              <w:rPr>
                <w:rStyle w:val="FootnoteReference"/>
                <w:rFonts w:cs="Calibri"/>
              </w:rPr>
              <w:footnoteReference w:id="1"/>
            </w:r>
            <w:r w:rsidRPr="002A79D6">
              <w:t xml:space="preserve">: </w:t>
            </w:r>
            <w:r w:rsidRPr="002A79D6">
              <w:rPr>
                <w:color w:val="FF0000"/>
              </w:rPr>
              <w:t xml:space="preserve"> MA (1</w:t>
            </w:r>
            <w:r w:rsidRPr="002A79D6">
              <w:rPr>
                <w:color w:val="FF0000"/>
                <w:vertAlign w:val="superscript"/>
              </w:rPr>
              <w:t>st</w:t>
            </w:r>
            <w:r w:rsidRPr="002A79D6">
              <w:rPr>
                <w:color w:val="FF0000"/>
              </w:rPr>
              <w:t xml:space="preserve"> &amp; 2</w:t>
            </w:r>
            <w:r w:rsidRPr="002A79D6">
              <w:rPr>
                <w:color w:val="FF0000"/>
                <w:vertAlign w:val="superscript"/>
              </w:rPr>
              <w:t>nd</w:t>
            </w:r>
            <w:r w:rsidRPr="002A79D6">
              <w:rPr>
                <w:color w:val="FF0000"/>
              </w:rPr>
              <w:t>)</w:t>
            </w:r>
          </w:p>
        </w:tc>
      </w:tr>
      <w:tr w:rsidR="008010A2" w:rsidRPr="002A79D6" w:rsidTr="005E54F5">
        <w:tc>
          <w:tcPr>
            <w:tcW w:w="9396" w:type="dxa"/>
            <w:gridSpan w:val="3"/>
          </w:tcPr>
          <w:p w:rsidR="008010A2" w:rsidRPr="002A79D6" w:rsidRDefault="008010A2" w:rsidP="005E54F5">
            <w:pPr>
              <w:spacing w:after="0" w:line="240" w:lineRule="auto"/>
            </w:pPr>
            <w:r w:rsidRPr="002A79D6">
              <w:t xml:space="preserve">Course Title: </w:t>
            </w:r>
            <w:r w:rsidRPr="001B19C7">
              <w:rPr>
                <w:b/>
                <w:lang w:val="en-GB"/>
              </w:rPr>
              <w:t>Epistemology of Social Practice</w:t>
            </w:r>
          </w:p>
        </w:tc>
      </w:tr>
      <w:tr w:rsidR="008010A2" w:rsidRPr="002A79D6" w:rsidTr="005E54F5">
        <w:tc>
          <w:tcPr>
            <w:tcW w:w="9396" w:type="dxa"/>
            <w:gridSpan w:val="3"/>
          </w:tcPr>
          <w:p w:rsidR="008010A2" w:rsidRPr="002A79D6" w:rsidRDefault="008010A2" w:rsidP="0013621F">
            <w:pPr>
              <w:spacing w:after="0" w:line="240" w:lineRule="auto"/>
            </w:pPr>
            <w:r w:rsidRPr="002A79D6">
              <w:t>Course Description:</w:t>
            </w:r>
          </w:p>
          <w:p w:rsidR="008010A2" w:rsidRPr="002A79D6" w:rsidRDefault="008010A2" w:rsidP="001314FD">
            <w:pPr>
              <w:spacing w:after="0" w:line="240" w:lineRule="auto"/>
              <w:rPr>
                <w:lang w:val="en-GB"/>
              </w:rPr>
            </w:pPr>
            <w:r w:rsidRPr="0013621F">
              <w:rPr>
                <w:lang w:val="en-GB"/>
              </w:rPr>
              <w:t xml:space="preserve">As a part of wider studies in epistemology of social sciences, the course is focused on the examination of social practice as one of the most important issues in sociological epistemology. In a certain sense, the concept of social practice is situated in the middle of two contrasted epistemological and ontological positions: one of methodological individualism and the other of methodological holism mediated through diverse ‘reconciling’ conceptions. In that sense, the concept of social practice attempts to bridge the gap between the mentioned confronted positions. During the course, students will acquire knowledge on different </w:t>
            </w:r>
            <w:r>
              <w:rPr>
                <w:lang w:val="en-GB"/>
              </w:rPr>
              <w:t>conceptual articulations</w:t>
            </w:r>
            <w:r w:rsidRPr="0013621F">
              <w:rPr>
                <w:lang w:val="en-GB"/>
              </w:rPr>
              <w:t xml:space="preserve"> on social practice present in sociological tradition. They will develop analytical and critical thinking on this particular epistemological issue, as well as enhance their knowledge on epistemology of social sciences in general.</w:t>
            </w:r>
          </w:p>
        </w:tc>
      </w:tr>
      <w:tr w:rsidR="008010A2" w:rsidRPr="002A79D6" w:rsidTr="005E54F5">
        <w:tc>
          <w:tcPr>
            <w:tcW w:w="9396" w:type="dxa"/>
            <w:gridSpan w:val="3"/>
          </w:tcPr>
          <w:p w:rsidR="008010A2" w:rsidRPr="002A79D6" w:rsidRDefault="008010A2" w:rsidP="005E54F5">
            <w:pPr>
              <w:spacing w:after="0" w:line="240" w:lineRule="auto"/>
              <w:rPr>
                <w:color w:val="FF0000"/>
              </w:rPr>
            </w:pPr>
            <w:r w:rsidRPr="002A79D6">
              <w:t>Semester</w:t>
            </w:r>
            <w:r w:rsidRPr="002A79D6">
              <w:rPr>
                <w:rStyle w:val="FootnoteReference"/>
                <w:rFonts w:cs="Calibri"/>
              </w:rPr>
              <w:footnoteReference w:id="2"/>
            </w:r>
            <w:r w:rsidRPr="002A79D6">
              <w:t>:</w:t>
            </w:r>
            <w:r w:rsidRPr="002A79D6">
              <w:rPr>
                <w:color w:val="FF0000"/>
              </w:rPr>
              <w:t xml:space="preserve"> Winter</w:t>
            </w:r>
          </w:p>
        </w:tc>
      </w:tr>
      <w:tr w:rsidR="008010A2" w:rsidRPr="0008203A" w:rsidTr="005E54F5">
        <w:tc>
          <w:tcPr>
            <w:tcW w:w="9396" w:type="dxa"/>
            <w:gridSpan w:val="3"/>
          </w:tcPr>
          <w:p w:rsidR="008010A2" w:rsidRPr="002A79D6" w:rsidRDefault="008010A2" w:rsidP="005E54F5">
            <w:pPr>
              <w:spacing w:after="0" w:line="240" w:lineRule="auto"/>
            </w:pPr>
            <w:r w:rsidRPr="002A79D6">
              <w:t>Lecturer(s)/Teacher(s):</w:t>
            </w:r>
          </w:p>
          <w:p w:rsidR="008010A2" w:rsidRPr="002A79D6" w:rsidRDefault="008010A2" w:rsidP="005E54F5">
            <w:pPr>
              <w:spacing w:after="0" w:line="240" w:lineRule="auto"/>
              <w:rPr>
                <w:lang w:val="en-GB"/>
              </w:rPr>
            </w:pPr>
            <w:r w:rsidRPr="002A79D6">
              <w:rPr>
                <w:lang w:val="en-GB"/>
              </w:rPr>
              <w:t>Frank Welz, PhD, Full Professor</w:t>
            </w:r>
          </w:p>
          <w:p w:rsidR="008010A2" w:rsidRPr="0008203A" w:rsidRDefault="008010A2" w:rsidP="005E54F5">
            <w:pPr>
              <w:spacing w:after="0" w:line="240" w:lineRule="auto"/>
              <w:rPr>
                <w:lang w:val="nb-NO"/>
              </w:rPr>
            </w:pPr>
            <w:r w:rsidRPr="0008203A">
              <w:rPr>
                <w:lang w:val="nb-NO"/>
              </w:rPr>
              <w:t>Krešimir Žažar, PhD, Assistant Professor</w:t>
            </w:r>
          </w:p>
        </w:tc>
      </w:tr>
      <w:tr w:rsidR="008010A2" w:rsidRPr="002A79D6" w:rsidTr="005E54F5">
        <w:tc>
          <w:tcPr>
            <w:tcW w:w="9396" w:type="dxa"/>
            <w:gridSpan w:val="3"/>
          </w:tcPr>
          <w:p w:rsidR="008010A2" w:rsidRPr="002A79D6" w:rsidRDefault="008010A2" w:rsidP="005E54F5">
            <w:pPr>
              <w:spacing w:after="0" w:line="240" w:lineRule="auto"/>
            </w:pPr>
            <w:r w:rsidRPr="002A79D6">
              <w:t>Teaching Language (regular)</w:t>
            </w:r>
            <w:r w:rsidRPr="002A79D6">
              <w:rPr>
                <w:rStyle w:val="FootnoteReference"/>
                <w:rFonts w:cs="Calibri"/>
              </w:rPr>
              <w:footnoteReference w:id="3"/>
            </w:r>
            <w:r w:rsidRPr="002A79D6">
              <w:t>: English</w:t>
            </w:r>
          </w:p>
        </w:tc>
      </w:tr>
      <w:tr w:rsidR="008010A2" w:rsidRPr="002A79D6" w:rsidTr="005E54F5">
        <w:tc>
          <w:tcPr>
            <w:tcW w:w="9396" w:type="dxa"/>
            <w:gridSpan w:val="3"/>
          </w:tcPr>
          <w:p w:rsidR="008010A2" w:rsidRPr="002A79D6" w:rsidRDefault="008010A2" w:rsidP="005E54F5">
            <w:pPr>
              <w:spacing w:after="0" w:line="240" w:lineRule="auto"/>
            </w:pPr>
            <w:r w:rsidRPr="002A79D6">
              <w:t>Teaching Methods (regular):</w:t>
            </w:r>
            <w:r w:rsidRPr="002A79D6">
              <w:rPr>
                <w:rStyle w:val="FootnoteReference"/>
                <w:rFonts w:cs="Calibri"/>
              </w:rPr>
              <w:footnoteReference w:id="4"/>
            </w:r>
          </w:p>
          <w:p w:rsidR="008010A2" w:rsidRPr="002A79D6" w:rsidRDefault="008010A2" w:rsidP="004D4715">
            <w:pPr>
              <w:spacing w:after="0" w:line="240" w:lineRule="auto"/>
            </w:pPr>
            <w:r w:rsidRPr="0013621F">
              <w:t xml:space="preserve">teaching through lectures and seminars; students’ presentations; classroom discussions; </w:t>
            </w:r>
            <w:r w:rsidRPr="0013621F">
              <w:rPr>
                <w:lang w:val="en-GB"/>
              </w:rPr>
              <w:t xml:space="preserve"> consultations with students (and even individual lessons if necessary);</w:t>
            </w:r>
            <w:r w:rsidRPr="0013621F">
              <w:t xml:space="preserve"> e-Learning (Omega)</w:t>
            </w:r>
          </w:p>
        </w:tc>
      </w:tr>
      <w:tr w:rsidR="008010A2" w:rsidRPr="002A79D6" w:rsidTr="005E54F5">
        <w:tc>
          <w:tcPr>
            <w:tcW w:w="3132" w:type="dxa"/>
          </w:tcPr>
          <w:p w:rsidR="008010A2" w:rsidRPr="002A79D6" w:rsidRDefault="008010A2" w:rsidP="005E54F5">
            <w:pPr>
              <w:spacing w:after="0" w:line="240" w:lineRule="auto"/>
            </w:pPr>
            <w:r w:rsidRPr="002A79D6">
              <w:t>Teaching:</w:t>
            </w:r>
          </w:p>
        </w:tc>
        <w:tc>
          <w:tcPr>
            <w:tcW w:w="3132" w:type="dxa"/>
          </w:tcPr>
          <w:p w:rsidR="008010A2" w:rsidRPr="002A79D6" w:rsidRDefault="008010A2" w:rsidP="005E54F5">
            <w:pPr>
              <w:spacing w:after="0" w:line="240" w:lineRule="auto"/>
            </w:pPr>
            <w:r w:rsidRPr="002A79D6">
              <w:t>Weekly (hours)</w:t>
            </w:r>
          </w:p>
        </w:tc>
        <w:tc>
          <w:tcPr>
            <w:tcW w:w="3132" w:type="dxa"/>
          </w:tcPr>
          <w:p w:rsidR="008010A2" w:rsidRPr="002A79D6" w:rsidRDefault="008010A2" w:rsidP="005E54F5">
            <w:pPr>
              <w:spacing w:after="0" w:line="240" w:lineRule="auto"/>
            </w:pPr>
            <w:r w:rsidRPr="002A79D6">
              <w:t>Semester (hours)</w:t>
            </w:r>
          </w:p>
          <w:p w:rsidR="008010A2" w:rsidRPr="002A79D6" w:rsidRDefault="008010A2" w:rsidP="005E54F5">
            <w:pPr>
              <w:spacing w:after="0" w:line="240" w:lineRule="auto"/>
            </w:pPr>
          </w:p>
        </w:tc>
      </w:tr>
      <w:tr w:rsidR="008010A2" w:rsidRPr="002A79D6" w:rsidTr="005E54F5">
        <w:tc>
          <w:tcPr>
            <w:tcW w:w="3132" w:type="dxa"/>
          </w:tcPr>
          <w:p w:rsidR="008010A2" w:rsidRPr="002A79D6" w:rsidRDefault="008010A2" w:rsidP="005E54F5">
            <w:pPr>
              <w:spacing w:after="0" w:line="240" w:lineRule="auto"/>
            </w:pPr>
            <w:r w:rsidRPr="002A79D6">
              <w:t>Lectures:</w:t>
            </w:r>
          </w:p>
        </w:tc>
        <w:tc>
          <w:tcPr>
            <w:tcW w:w="3132" w:type="dxa"/>
          </w:tcPr>
          <w:p w:rsidR="008010A2" w:rsidRPr="002A79D6" w:rsidRDefault="008010A2" w:rsidP="005E54F5">
            <w:pPr>
              <w:spacing w:after="0" w:line="240" w:lineRule="auto"/>
            </w:pPr>
            <w:r w:rsidRPr="002A79D6">
              <w:t>2</w:t>
            </w:r>
          </w:p>
        </w:tc>
        <w:tc>
          <w:tcPr>
            <w:tcW w:w="3132" w:type="dxa"/>
          </w:tcPr>
          <w:p w:rsidR="008010A2" w:rsidRPr="002A79D6" w:rsidRDefault="008010A2" w:rsidP="005E54F5">
            <w:pPr>
              <w:spacing w:after="0" w:line="240" w:lineRule="auto"/>
            </w:pPr>
            <w:r w:rsidRPr="002A79D6">
              <w:t>30</w:t>
            </w:r>
          </w:p>
        </w:tc>
      </w:tr>
      <w:tr w:rsidR="008010A2" w:rsidRPr="002A79D6" w:rsidTr="005E54F5">
        <w:tc>
          <w:tcPr>
            <w:tcW w:w="3132" w:type="dxa"/>
          </w:tcPr>
          <w:p w:rsidR="008010A2" w:rsidRPr="002A79D6" w:rsidRDefault="008010A2" w:rsidP="005E54F5">
            <w:pPr>
              <w:spacing w:after="0" w:line="240" w:lineRule="auto"/>
            </w:pPr>
            <w:r w:rsidRPr="002A79D6">
              <w:t>Exercises:</w:t>
            </w:r>
          </w:p>
        </w:tc>
        <w:tc>
          <w:tcPr>
            <w:tcW w:w="3132" w:type="dxa"/>
          </w:tcPr>
          <w:p w:rsidR="008010A2" w:rsidRPr="002A79D6" w:rsidRDefault="008010A2" w:rsidP="005E54F5">
            <w:pPr>
              <w:spacing w:after="0" w:line="240" w:lineRule="auto"/>
            </w:pPr>
            <w:r w:rsidRPr="002A79D6">
              <w:t>-</w:t>
            </w:r>
          </w:p>
        </w:tc>
        <w:tc>
          <w:tcPr>
            <w:tcW w:w="3132" w:type="dxa"/>
          </w:tcPr>
          <w:p w:rsidR="008010A2" w:rsidRPr="002A79D6" w:rsidRDefault="008010A2" w:rsidP="005E54F5">
            <w:pPr>
              <w:spacing w:after="0" w:line="240" w:lineRule="auto"/>
            </w:pPr>
            <w:r w:rsidRPr="002A79D6">
              <w:t>-</w:t>
            </w:r>
          </w:p>
        </w:tc>
      </w:tr>
      <w:tr w:rsidR="008010A2" w:rsidRPr="002A79D6" w:rsidTr="005E54F5">
        <w:tc>
          <w:tcPr>
            <w:tcW w:w="3132" w:type="dxa"/>
          </w:tcPr>
          <w:p w:rsidR="008010A2" w:rsidRPr="002A79D6" w:rsidRDefault="008010A2" w:rsidP="005E54F5">
            <w:pPr>
              <w:spacing w:after="0" w:line="240" w:lineRule="auto"/>
            </w:pPr>
            <w:r w:rsidRPr="002A79D6">
              <w:t>Seminars:</w:t>
            </w:r>
          </w:p>
        </w:tc>
        <w:tc>
          <w:tcPr>
            <w:tcW w:w="3132" w:type="dxa"/>
          </w:tcPr>
          <w:p w:rsidR="008010A2" w:rsidRPr="002A79D6" w:rsidRDefault="008010A2" w:rsidP="005E54F5">
            <w:pPr>
              <w:spacing w:after="0" w:line="240" w:lineRule="auto"/>
            </w:pPr>
            <w:r w:rsidRPr="002A79D6">
              <w:t>2</w:t>
            </w:r>
          </w:p>
        </w:tc>
        <w:tc>
          <w:tcPr>
            <w:tcW w:w="3132" w:type="dxa"/>
          </w:tcPr>
          <w:p w:rsidR="008010A2" w:rsidRPr="002A79D6" w:rsidRDefault="008010A2" w:rsidP="005E54F5">
            <w:pPr>
              <w:spacing w:after="0" w:line="240" w:lineRule="auto"/>
            </w:pPr>
            <w:r w:rsidRPr="002A79D6">
              <w:t>30</w:t>
            </w:r>
          </w:p>
        </w:tc>
      </w:tr>
      <w:tr w:rsidR="008010A2" w:rsidRPr="002A79D6" w:rsidTr="005E54F5">
        <w:tc>
          <w:tcPr>
            <w:tcW w:w="9396" w:type="dxa"/>
            <w:gridSpan w:val="3"/>
          </w:tcPr>
          <w:p w:rsidR="008010A2" w:rsidRPr="002A79D6" w:rsidRDefault="008010A2" w:rsidP="005E54F5">
            <w:pPr>
              <w:spacing w:after="0" w:line="240" w:lineRule="auto"/>
            </w:pPr>
            <w:r w:rsidRPr="002A79D6">
              <w:t>ECTS: 6</w:t>
            </w:r>
          </w:p>
          <w:p w:rsidR="008010A2" w:rsidRPr="002A79D6" w:rsidRDefault="008010A2" w:rsidP="005E54F5">
            <w:pPr>
              <w:spacing w:after="0" w:line="240" w:lineRule="auto"/>
            </w:pPr>
          </w:p>
        </w:tc>
      </w:tr>
      <w:tr w:rsidR="008010A2" w:rsidRPr="002A79D6" w:rsidTr="005E54F5">
        <w:tc>
          <w:tcPr>
            <w:tcW w:w="9396" w:type="dxa"/>
            <w:gridSpan w:val="3"/>
          </w:tcPr>
          <w:p w:rsidR="008010A2" w:rsidRPr="002A79D6" w:rsidRDefault="008010A2" w:rsidP="005E54F5">
            <w:pPr>
              <w:spacing w:after="0" w:line="240" w:lineRule="auto"/>
            </w:pPr>
            <w:r w:rsidRPr="002A79D6">
              <w:lastRenderedPageBreak/>
              <w:t>Teaching language and level</w:t>
            </w:r>
            <w:r w:rsidRPr="002A79D6">
              <w:rPr>
                <w:rStyle w:val="FootnoteReference"/>
                <w:rFonts w:cs="Calibri"/>
              </w:rPr>
              <w:footnoteReference w:id="5"/>
            </w:r>
            <w:r w:rsidRPr="002A79D6">
              <w:t xml:space="preserve">  for guest (exchange) students:</w:t>
            </w:r>
          </w:p>
          <w:p w:rsidR="008010A2" w:rsidRPr="002A79D6" w:rsidRDefault="008010A2" w:rsidP="005E54F5">
            <w:pPr>
              <w:pStyle w:val="FootnoteText"/>
              <w:rPr>
                <w:sz w:val="22"/>
                <w:szCs w:val="22"/>
              </w:rPr>
            </w:pPr>
            <w:r w:rsidRPr="002A79D6">
              <w:rPr>
                <w:sz w:val="22"/>
                <w:szCs w:val="22"/>
              </w:rPr>
              <w:t xml:space="preserve">English </w:t>
            </w:r>
            <w:r>
              <w:rPr>
                <w:sz w:val="22"/>
                <w:szCs w:val="22"/>
              </w:rPr>
              <w:t>B2</w:t>
            </w:r>
            <w:r w:rsidRPr="002A79D6">
              <w:rPr>
                <w:sz w:val="22"/>
                <w:szCs w:val="22"/>
              </w:rPr>
              <w:t xml:space="preserve"> </w:t>
            </w:r>
          </w:p>
        </w:tc>
      </w:tr>
      <w:tr w:rsidR="008010A2" w:rsidRPr="002A79D6" w:rsidTr="005E54F5">
        <w:tc>
          <w:tcPr>
            <w:tcW w:w="9396" w:type="dxa"/>
            <w:gridSpan w:val="3"/>
          </w:tcPr>
          <w:p w:rsidR="008010A2" w:rsidRPr="002A79D6" w:rsidRDefault="008010A2" w:rsidP="005E54F5">
            <w:pPr>
              <w:spacing w:after="0" w:line="240" w:lineRule="auto"/>
            </w:pPr>
            <w:r w:rsidRPr="002A79D6">
              <w:t>Teaching Methods</w:t>
            </w:r>
            <w:r w:rsidRPr="002A79D6">
              <w:rPr>
                <w:rStyle w:val="FootnoteReference"/>
                <w:rFonts w:cs="Calibri"/>
              </w:rPr>
              <w:footnoteReference w:id="6"/>
            </w:r>
            <w:r w:rsidRPr="002A79D6">
              <w:t xml:space="preserve"> for guest (exchange) students:</w:t>
            </w:r>
          </w:p>
          <w:p w:rsidR="008010A2" w:rsidRPr="002A79D6" w:rsidRDefault="008010A2" w:rsidP="005E54F5">
            <w:pPr>
              <w:spacing w:after="0" w:line="240" w:lineRule="auto"/>
            </w:pPr>
            <w:r w:rsidRPr="002A79D6">
              <w:t>L1 - All teaching activities will be held in regular teaching language. However, guest (exchange) students will have the opportunity to attend additional consultations with the lecturer in German language to help master the course materials. Additionally, the lecturer will refer guest (exchange) students to the corresponding literature in a foreign language (German).</w:t>
            </w:r>
          </w:p>
        </w:tc>
      </w:tr>
      <w:tr w:rsidR="008010A2" w:rsidRPr="002A79D6" w:rsidTr="005E54F5">
        <w:tc>
          <w:tcPr>
            <w:tcW w:w="9396" w:type="dxa"/>
            <w:gridSpan w:val="3"/>
          </w:tcPr>
          <w:p w:rsidR="008010A2" w:rsidRPr="002A79D6" w:rsidRDefault="008010A2" w:rsidP="005E54F5">
            <w:pPr>
              <w:spacing w:after="0" w:line="240" w:lineRule="auto"/>
            </w:pPr>
            <w:r w:rsidRPr="002A79D6">
              <w:t>Evaluation Methods</w:t>
            </w:r>
            <w:r w:rsidRPr="002A79D6">
              <w:rPr>
                <w:rStyle w:val="FootnoteReference"/>
                <w:rFonts w:cs="Calibri"/>
              </w:rPr>
              <w:footnoteReference w:id="7"/>
            </w:r>
            <w:r w:rsidRPr="002A79D6">
              <w:t xml:space="preserve"> and Grading</w:t>
            </w:r>
            <w:r w:rsidRPr="002A79D6">
              <w:rPr>
                <w:rStyle w:val="FootnoteReference"/>
                <w:rFonts w:cs="Calibri"/>
              </w:rPr>
              <w:footnoteReference w:id="8"/>
            </w:r>
            <w:r w:rsidRPr="002A79D6">
              <w:t>:</w:t>
            </w:r>
          </w:p>
          <w:p w:rsidR="008010A2" w:rsidRPr="002A79D6" w:rsidRDefault="008010A2" w:rsidP="005E54F5">
            <w:pPr>
              <w:spacing w:after="0" w:line="240" w:lineRule="auto"/>
            </w:pPr>
            <w:r w:rsidRPr="0013621F">
              <w:t>class attendance;  seminar paper/oral presentation;  writing homework assignments; final written paper that is additionally discussed in the oral exam</w:t>
            </w:r>
            <w:r w:rsidRPr="002A79D6">
              <w:t xml:space="preserve"> </w:t>
            </w:r>
          </w:p>
          <w:p w:rsidR="008010A2" w:rsidRPr="002A79D6" w:rsidRDefault="008010A2" w:rsidP="005E54F5">
            <w:pPr>
              <w:spacing w:after="0" w:line="240" w:lineRule="auto"/>
            </w:pPr>
            <w:r w:rsidRPr="002A79D6">
              <w:t xml:space="preserve">Standard </w:t>
            </w:r>
            <w:r>
              <w:t>–</w:t>
            </w:r>
            <w:r w:rsidRPr="002A79D6">
              <w:t xml:space="preserve"> the institutional grading system (5 Excellent; 4 Very good; 3 Good; 2 Sufficient; 1 Fail)</w:t>
            </w:r>
          </w:p>
          <w:p w:rsidR="008010A2" w:rsidRPr="002A79D6" w:rsidRDefault="008010A2" w:rsidP="004D4715">
            <w:pPr>
              <w:spacing w:after="0" w:line="240" w:lineRule="auto"/>
            </w:pPr>
            <w:r w:rsidRPr="002A79D6">
              <w:t>C+ / Completed + ECTS (Student has completed pr</w:t>
            </w:r>
            <w:r>
              <w:t>e</w:t>
            </w:r>
            <w:r w:rsidRPr="002A79D6">
              <w:t>scribed obligations + ECTS credits awarded)</w:t>
            </w:r>
          </w:p>
        </w:tc>
      </w:tr>
      <w:tr w:rsidR="008010A2" w:rsidRPr="002A79D6" w:rsidTr="005E54F5">
        <w:tc>
          <w:tcPr>
            <w:tcW w:w="9396" w:type="dxa"/>
            <w:gridSpan w:val="3"/>
          </w:tcPr>
          <w:p w:rsidR="008010A2" w:rsidRPr="002A79D6" w:rsidRDefault="008010A2" w:rsidP="005E54F5">
            <w:pPr>
              <w:spacing w:after="0" w:line="240" w:lineRule="auto"/>
            </w:pPr>
            <w:r w:rsidRPr="002A79D6">
              <w:t>Learning Outcomes:</w:t>
            </w:r>
          </w:p>
          <w:p w:rsidR="008010A2" w:rsidRPr="0013621F" w:rsidRDefault="008010A2" w:rsidP="0013621F">
            <w:pPr>
              <w:numPr>
                <w:ilvl w:val="0"/>
                <w:numId w:val="1"/>
              </w:numPr>
              <w:spacing w:after="0" w:line="240" w:lineRule="auto"/>
            </w:pPr>
            <w:r w:rsidRPr="0013621F">
              <w:t>Attaining relevant concepts that articulate social practice as an important theoretical category in sociology</w:t>
            </w:r>
          </w:p>
          <w:p w:rsidR="008010A2" w:rsidRPr="0013621F" w:rsidRDefault="008010A2" w:rsidP="0013621F">
            <w:pPr>
              <w:numPr>
                <w:ilvl w:val="0"/>
                <w:numId w:val="1"/>
              </w:numPr>
              <w:spacing w:after="0" w:line="240" w:lineRule="auto"/>
            </w:pPr>
            <w:r w:rsidRPr="0013621F">
              <w:t>Comparing diverse theoretical approaches of conceptualizing social action</w:t>
            </w:r>
          </w:p>
          <w:p w:rsidR="008010A2" w:rsidRPr="0013621F" w:rsidRDefault="008010A2" w:rsidP="0013621F">
            <w:pPr>
              <w:numPr>
                <w:ilvl w:val="0"/>
                <w:numId w:val="1"/>
              </w:numPr>
              <w:spacing w:before="100" w:beforeAutospacing="1" w:after="100" w:afterAutospacing="1" w:line="240" w:lineRule="auto"/>
            </w:pPr>
            <w:r w:rsidRPr="0013621F">
              <w:t>Writing and competently discussing the review paper on a chosen topic in a given knowledge domain</w:t>
            </w:r>
          </w:p>
          <w:p w:rsidR="008010A2" w:rsidRPr="002A79D6" w:rsidRDefault="008010A2" w:rsidP="0013621F">
            <w:pPr>
              <w:numPr>
                <w:ilvl w:val="0"/>
                <w:numId w:val="1"/>
              </w:numPr>
              <w:spacing w:after="0" w:line="240" w:lineRule="auto"/>
            </w:pPr>
            <w:r w:rsidRPr="0013621F">
              <w:t>Applying and enhancing writing and overall communication skills</w:t>
            </w:r>
          </w:p>
        </w:tc>
      </w:tr>
      <w:tr w:rsidR="008010A2" w:rsidRPr="002A79D6" w:rsidTr="005E54F5">
        <w:tc>
          <w:tcPr>
            <w:tcW w:w="9396" w:type="dxa"/>
            <w:gridSpan w:val="3"/>
          </w:tcPr>
          <w:p w:rsidR="008010A2" w:rsidRPr="002A79D6" w:rsidRDefault="008010A2" w:rsidP="005E54F5">
            <w:pPr>
              <w:spacing w:after="0" w:line="240" w:lineRule="auto"/>
            </w:pPr>
            <w:r w:rsidRPr="002A79D6">
              <w:t>(Basic) literature:</w:t>
            </w:r>
          </w:p>
          <w:p w:rsidR="008010A2" w:rsidRPr="002A79D6" w:rsidRDefault="008010A2" w:rsidP="005E54F5">
            <w:pPr>
              <w:ind w:left="794" w:hanging="794"/>
              <w:rPr>
                <w:b/>
              </w:rPr>
            </w:pPr>
            <w:r w:rsidRPr="002A79D6">
              <w:rPr>
                <w:b/>
              </w:rPr>
              <w:t xml:space="preserve">Archer, M. </w:t>
            </w:r>
            <w:r w:rsidRPr="002A79D6">
              <w:t>(1995).</w:t>
            </w:r>
            <w:r w:rsidRPr="002A79D6">
              <w:rPr>
                <w:b/>
              </w:rPr>
              <w:t xml:space="preserve"> </w:t>
            </w:r>
            <w:r w:rsidRPr="002A79D6">
              <w:rPr>
                <w:i/>
              </w:rPr>
              <w:t>Realist Social Theory: The Morphogenetic Approach</w:t>
            </w:r>
            <w:r w:rsidRPr="002A79D6">
              <w:t xml:space="preserve">. </w:t>
            </w:r>
            <w:smartTag w:uri="urn:schemas-microsoft-com:office:smarttags" w:element="City">
              <w:r w:rsidRPr="002A79D6">
                <w:t>Cambridge</w:t>
              </w:r>
            </w:smartTag>
            <w:r w:rsidRPr="002A79D6">
              <w:t xml:space="preserve">: </w:t>
            </w:r>
            <w:smartTag w:uri="urn:schemas-microsoft-com:office:smarttags" w:element="place">
              <w:smartTag w:uri="urn:schemas-microsoft-com:office:smarttags" w:element="PlaceName">
                <w:r w:rsidRPr="002A79D6">
                  <w:t>Cambridge</w:t>
                </w:r>
              </w:smartTag>
              <w:r w:rsidRPr="002A79D6">
                <w:t xml:space="preserve"> </w:t>
              </w:r>
              <w:smartTag w:uri="urn:schemas-microsoft-com:office:smarttags" w:element="PlaceType">
                <w:r w:rsidRPr="002A79D6">
                  <w:t>University</w:t>
                </w:r>
              </w:smartTag>
            </w:smartTag>
            <w:r w:rsidRPr="002A79D6">
              <w:t xml:space="preserve"> Press. (Analytical Dualism: The Basis of the Morphogenetic Approach (pp. 165-194))</w:t>
            </w:r>
          </w:p>
          <w:p w:rsidR="008010A2" w:rsidRPr="002A79D6" w:rsidRDefault="008010A2" w:rsidP="005E54F5">
            <w:pPr>
              <w:ind w:left="794" w:hanging="794"/>
              <w:rPr>
                <w:b/>
              </w:rPr>
            </w:pPr>
            <w:r w:rsidRPr="002A79D6">
              <w:rPr>
                <w:b/>
              </w:rPr>
              <w:t xml:space="preserve">Asimaki, A., Koustourakis, G. </w:t>
            </w:r>
            <w:r w:rsidRPr="002A79D6">
              <w:t xml:space="preserve">(2014). Habitus: An attempt at a thorough analysis of a controversial concept in Pierre Bourdieu’s theory of practice. </w:t>
            </w:r>
            <w:r w:rsidRPr="002A79D6">
              <w:rPr>
                <w:i/>
              </w:rPr>
              <w:t>Social Sciences</w:t>
            </w:r>
            <w:r w:rsidRPr="002A79D6">
              <w:t>, 3(4): 121-131.</w:t>
            </w:r>
          </w:p>
          <w:p w:rsidR="008010A2" w:rsidRPr="002A79D6" w:rsidRDefault="008010A2" w:rsidP="005E54F5">
            <w:pPr>
              <w:ind w:left="794" w:hanging="794"/>
              <w:rPr>
                <w:b/>
              </w:rPr>
            </w:pPr>
            <w:r w:rsidRPr="002A79D6">
              <w:rPr>
                <w:b/>
              </w:rPr>
              <w:t>Bourdieu, P.</w:t>
            </w:r>
            <w:r w:rsidRPr="002A79D6">
              <w:t xml:space="preserve"> (1977). </w:t>
            </w:r>
            <w:r w:rsidRPr="002A79D6">
              <w:rPr>
                <w:i/>
              </w:rPr>
              <w:t>Outline of a Theory of Practice</w:t>
            </w:r>
            <w:r w:rsidRPr="002A79D6">
              <w:t xml:space="preserve">. </w:t>
            </w:r>
            <w:smartTag w:uri="urn:schemas-microsoft-com:office:smarttags" w:element="place">
              <w:smartTag w:uri="urn:schemas-microsoft-com:office:smarttags" w:element="PlaceName">
                <w:r w:rsidRPr="002A79D6">
                  <w:t>Cambridge</w:t>
                </w:r>
              </w:smartTag>
              <w:r w:rsidRPr="002A79D6">
                <w:t xml:space="preserve"> </w:t>
              </w:r>
              <w:smartTag w:uri="urn:schemas-microsoft-com:office:smarttags" w:element="PlaceType">
                <w:r w:rsidRPr="002A79D6">
                  <w:t>University</w:t>
                </w:r>
              </w:smartTag>
            </w:smartTag>
            <w:r w:rsidRPr="002A79D6">
              <w:t xml:space="preserve"> Press. (</w:t>
            </w:r>
            <w:r w:rsidRPr="002A79D6">
              <w:rPr>
                <w:i/>
              </w:rPr>
              <w:t>Structures and the habitus</w:t>
            </w:r>
            <w:r w:rsidRPr="002A79D6">
              <w:t xml:space="preserve"> (pp. 72-95)) </w:t>
            </w:r>
          </w:p>
          <w:p w:rsidR="008010A2" w:rsidRPr="0008203A" w:rsidRDefault="008010A2" w:rsidP="005E54F5">
            <w:pPr>
              <w:ind w:left="794" w:hanging="794"/>
              <w:rPr>
                <w:lang w:val="it-IT"/>
              </w:rPr>
            </w:pPr>
            <w:r w:rsidRPr="0008203A">
              <w:rPr>
                <w:b/>
                <w:lang w:val="it-IT"/>
              </w:rPr>
              <w:t>Donati, P.</w:t>
            </w:r>
            <w:r w:rsidRPr="0008203A">
              <w:rPr>
                <w:lang w:val="it-IT"/>
              </w:rPr>
              <w:t xml:space="preserve"> (2014). Relational Sociology, Critical Realism and Social Morphogenesis. </w:t>
            </w:r>
            <w:r w:rsidRPr="0008203A">
              <w:rPr>
                <w:i/>
                <w:lang w:val="it-IT"/>
              </w:rPr>
              <w:t>Sociologia e Politiche Sociali</w:t>
            </w:r>
            <w:r w:rsidRPr="0008203A">
              <w:rPr>
                <w:lang w:val="it-IT"/>
              </w:rPr>
              <w:t>, Vol. 17(1):9-26.</w:t>
            </w:r>
          </w:p>
          <w:p w:rsidR="008010A2" w:rsidRPr="002A79D6" w:rsidRDefault="008010A2" w:rsidP="005E54F5">
            <w:pPr>
              <w:ind w:left="794" w:hanging="794"/>
            </w:pPr>
            <w:r w:rsidRPr="002A79D6">
              <w:rPr>
                <w:b/>
              </w:rPr>
              <w:t>Giddens, A.</w:t>
            </w:r>
            <w:r w:rsidRPr="002A79D6">
              <w:rPr>
                <w:bCs/>
              </w:rPr>
              <w:t xml:space="preserve"> </w:t>
            </w:r>
            <w:r w:rsidRPr="002A79D6">
              <w:t>(2003)</w:t>
            </w:r>
            <w:r w:rsidRPr="002A79D6">
              <w:rPr>
                <w:bCs/>
              </w:rPr>
              <w:t xml:space="preserve"> </w:t>
            </w:r>
            <w:r w:rsidRPr="002A79D6">
              <w:rPr>
                <w:bCs/>
                <w:i/>
                <w:iCs/>
              </w:rPr>
              <w:t>The Constitution of Society: Outline of the Theory of Structuration</w:t>
            </w:r>
            <w:r w:rsidRPr="002A79D6">
              <w:rPr>
                <w:i/>
                <w:iCs/>
              </w:rPr>
              <w:t>.</w:t>
            </w:r>
            <w:r w:rsidRPr="002A79D6">
              <w:t xml:space="preserve"> </w:t>
            </w:r>
            <w:smartTag w:uri="urn:schemas-microsoft-com:office:smarttags" w:element="City">
              <w:r w:rsidRPr="002A79D6">
                <w:t>Cambridge</w:t>
              </w:r>
            </w:smartTag>
            <w:r w:rsidRPr="002A79D6">
              <w:t xml:space="preserve">: Polity Press; </w:t>
            </w:r>
            <w:smartTag w:uri="urn:schemas-microsoft-com:office:smarttags" w:element="place">
              <w:smartTag w:uri="urn:schemas-microsoft-com:office:smarttags" w:element="City">
                <w:r w:rsidRPr="002A79D6">
                  <w:t>Oxford</w:t>
                </w:r>
              </w:smartTag>
            </w:smartTag>
            <w:r w:rsidRPr="002A79D6">
              <w:t xml:space="preserve">: Blackwell Publishing Ltd. </w:t>
            </w:r>
            <w:r w:rsidRPr="002A79D6">
              <w:rPr>
                <w:i/>
                <w:iCs/>
                <w:lang w:val="en-GB"/>
              </w:rPr>
              <w:t>(Elements of the Theory of Structuration (pp. 1-</w:t>
            </w:r>
            <w:r w:rsidRPr="002A79D6">
              <w:rPr>
                <w:i/>
                <w:iCs/>
                <w:lang w:val="en-GB"/>
              </w:rPr>
              <w:lastRenderedPageBreak/>
              <w:t>40))</w:t>
            </w:r>
          </w:p>
          <w:p w:rsidR="008010A2" w:rsidRPr="002A79D6" w:rsidRDefault="008010A2" w:rsidP="005E54F5">
            <w:pPr>
              <w:ind w:left="794" w:hanging="794"/>
            </w:pPr>
            <w:r w:rsidRPr="002A79D6">
              <w:rPr>
                <w:b/>
              </w:rPr>
              <w:t>Habermas, J</w:t>
            </w:r>
            <w:r w:rsidRPr="002A79D6">
              <w:rPr>
                <w:b/>
                <w:bCs/>
              </w:rPr>
              <w:t>.</w:t>
            </w:r>
            <w:r w:rsidRPr="002A79D6">
              <w:t xml:space="preserve"> (1984)</w:t>
            </w:r>
            <w:r w:rsidRPr="002A79D6">
              <w:rPr>
                <w:bCs/>
              </w:rPr>
              <w:t xml:space="preserve"> </w:t>
            </w:r>
            <w:r w:rsidRPr="002A79D6">
              <w:rPr>
                <w:bCs/>
                <w:i/>
                <w:iCs/>
              </w:rPr>
              <w:t>The Theory of Communicative Action</w:t>
            </w:r>
            <w:r w:rsidRPr="002A79D6">
              <w:rPr>
                <w:bCs/>
              </w:rPr>
              <w:t xml:space="preserve"> Vol. I (</w:t>
            </w:r>
            <w:r w:rsidRPr="002A79D6">
              <w:rPr>
                <w:bCs/>
                <w:i/>
                <w:iCs/>
              </w:rPr>
              <w:t>Reason and the Rationalization of Society</w:t>
            </w:r>
            <w:r w:rsidRPr="002A79D6">
              <w:rPr>
                <w:bCs/>
              </w:rPr>
              <w:t>)</w:t>
            </w:r>
            <w:r w:rsidRPr="002A79D6">
              <w:t xml:space="preserve">. </w:t>
            </w:r>
            <w:smartTag w:uri="urn:schemas-microsoft-com:office:smarttags" w:element="place">
              <w:smartTag w:uri="urn:schemas-microsoft-com:office:smarttags" w:element="City">
                <w:r w:rsidRPr="002A79D6">
                  <w:t>Cambridge</w:t>
                </w:r>
              </w:smartTag>
            </w:smartTag>
            <w:r w:rsidRPr="002A79D6">
              <w:t>: Polity Press.(</w:t>
            </w:r>
            <w:r w:rsidRPr="002A79D6">
              <w:rPr>
                <w:i/>
                <w:iCs/>
              </w:rPr>
              <w:t xml:space="preserve">Intermediate Reflections: Social Action, Purpose Activity and Communication </w:t>
            </w:r>
            <w:r w:rsidRPr="002A79D6">
              <w:t>(pp. 273-337))</w:t>
            </w:r>
          </w:p>
          <w:p w:rsidR="008010A2" w:rsidRPr="002A79D6" w:rsidRDefault="008010A2" w:rsidP="005E54F5">
            <w:pPr>
              <w:ind w:left="794" w:hanging="794"/>
              <w:rPr>
                <w:lang w:val="en-GB"/>
              </w:rPr>
            </w:pPr>
            <w:r w:rsidRPr="002A79D6">
              <w:rPr>
                <w:b/>
                <w:lang w:val="en-GB"/>
              </w:rPr>
              <w:t>Latour, B.</w:t>
            </w:r>
            <w:r w:rsidRPr="002A79D6">
              <w:rPr>
                <w:lang w:val="en-GB"/>
              </w:rPr>
              <w:t xml:space="preserve"> (2005). </w:t>
            </w:r>
            <w:r w:rsidRPr="002A79D6">
              <w:rPr>
                <w:i/>
                <w:lang w:val="en-GB"/>
              </w:rPr>
              <w:t>Reassembling the Social: An Introduction to Actor-Network Theory</w:t>
            </w:r>
            <w:r w:rsidRPr="002A79D6">
              <w:rPr>
                <w:lang w:val="en-GB"/>
              </w:rPr>
              <w:t xml:space="preserve">. </w:t>
            </w:r>
            <w:smartTag w:uri="urn:schemas-microsoft-com:office:smarttags" w:element="City">
              <w:r w:rsidRPr="002A79D6">
                <w:rPr>
                  <w:lang w:val="en-GB"/>
                </w:rPr>
                <w:t>Oxford</w:t>
              </w:r>
            </w:smartTag>
            <w:r w:rsidRPr="002A79D6">
              <w:rPr>
                <w:lang w:val="en-GB"/>
              </w:rPr>
              <w:t xml:space="preserve">: </w:t>
            </w:r>
            <w:smartTag w:uri="urn:schemas-microsoft-com:office:smarttags" w:element="place">
              <w:smartTag w:uri="urn:schemas-microsoft-com:office:smarttags" w:element="PlaceName">
                <w:r w:rsidRPr="002A79D6">
                  <w:rPr>
                    <w:lang w:val="en-GB"/>
                  </w:rPr>
                  <w:t>Oxford</w:t>
                </w:r>
              </w:smartTag>
              <w:r w:rsidRPr="002A79D6">
                <w:rPr>
                  <w:lang w:val="en-GB"/>
                </w:rPr>
                <w:t xml:space="preserve"> </w:t>
              </w:r>
              <w:smartTag w:uri="urn:schemas-microsoft-com:office:smarttags" w:element="PlaceType">
                <w:r w:rsidRPr="002A79D6">
                  <w:rPr>
                    <w:lang w:val="en-GB"/>
                  </w:rPr>
                  <w:t>University</w:t>
                </w:r>
              </w:smartTag>
            </w:smartTag>
            <w:r w:rsidRPr="002A79D6">
              <w:rPr>
                <w:lang w:val="en-GB"/>
              </w:rPr>
              <w:t xml:space="preserve"> Press. (</w:t>
            </w:r>
            <w:r w:rsidRPr="002A79D6">
              <w:rPr>
                <w:i/>
              </w:rPr>
              <w:t>How to Render Associations Traceable Again</w:t>
            </w:r>
            <w:r w:rsidRPr="002A79D6">
              <w:t xml:space="preserve"> (pp. 157-262)</w:t>
            </w:r>
            <w:r w:rsidRPr="002A79D6">
              <w:rPr>
                <w:lang w:val="en-GB"/>
              </w:rPr>
              <w:t>)</w:t>
            </w:r>
          </w:p>
          <w:p w:rsidR="008010A2" w:rsidRPr="002A79D6" w:rsidRDefault="008010A2" w:rsidP="005E54F5">
            <w:pPr>
              <w:ind w:left="794" w:hanging="794"/>
              <w:rPr>
                <w:lang w:val="en-GB"/>
              </w:rPr>
            </w:pPr>
            <w:r w:rsidRPr="002A79D6">
              <w:rPr>
                <w:b/>
                <w:lang w:val="en-GB"/>
              </w:rPr>
              <w:t>Sewell, W. H. Jr.</w:t>
            </w:r>
            <w:r w:rsidRPr="002A79D6">
              <w:rPr>
                <w:lang w:val="en-GB"/>
              </w:rPr>
              <w:t xml:space="preserve"> (2005).</w:t>
            </w:r>
            <w:r w:rsidRPr="002A79D6">
              <w:rPr>
                <w:b/>
                <w:lang w:val="en-GB"/>
              </w:rPr>
              <w:t xml:space="preserve"> </w:t>
            </w:r>
            <w:r w:rsidRPr="002A79D6">
              <w:rPr>
                <w:i/>
                <w:lang w:val="en-GB"/>
              </w:rPr>
              <w:t>Logics of History: Social Theory and Social Transformation.</w:t>
            </w:r>
            <w:r w:rsidRPr="002A79D6">
              <w:rPr>
                <w:i/>
              </w:rPr>
              <w:t xml:space="preserve"> </w:t>
            </w:r>
            <w:r w:rsidRPr="002A79D6">
              <w:rPr>
                <w:lang w:val="en-GB"/>
              </w:rPr>
              <w:t>Series:</w:t>
            </w:r>
            <w:r w:rsidRPr="002A79D6">
              <w:rPr>
                <w:b/>
                <w:lang w:val="en-GB"/>
              </w:rPr>
              <w:t xml:space="preserve"> </w:t>
            </w:r>
            <w:smartTag w:uri="urn:schemas-microsoft-com:office:smarttags" w:element="City">
              <w:r w:rsidRPr="002A79D6">
                <w:rPr>
                  <w:lang w:val="en-GB"/>
                </w:rPr>
                <w:t>Chicago</w:t>
              </w:r>
            </w:smartTag>
            <w:r w:rsidRPr="002A79D6">
              <w:rPr>
                <w:lang w:val="en-GB"/>
              </w:rPr>
              <w:t xml:space="preserve"> Studies in Practices of </w:t>
            </w:r>
            <w:smartTag w:uri="urn:schemas-microsoft-com:office:smarttags" w:element="place">
              <w:smartTag w:uri="urn:schemas-microsoft-com:office:smarttags" w:element="City">
                <w:r w:rsidRPr="002A79D6">
                  <w:rPr>
                    <w:lang w:val="en-GB"/>
                  </w:rPr>
                  <w:t>Meaning</w:t>
                </w:r>
              </w:smartTag>
              <w:r w:rsidRPr="002A79D6">
                <w:rPr>
                  <w:lang w:val="en-GB"/>
                </w:rPr>
                <w:t xml:space="preserve">, </w:t>
              </w:r>
              <w:smartTag w:uri="urn:schemas-microsoft-com:office:smarttags" w:element="country-region">
                <w:r w:rsidRPr="002A79D6">
                  <w:rPr>
                    <w:lang w:val="en-GB"/>
                  </w:rPr>
                  <w:t>USA</w:t>
                </w:r>
              </w:smartTag>
            </w:smartTag>
            <w:r w:rsidRPr="002A79D6">
              <w:rPr>
                <w:lang w:val="en-GB"/>
              </w:rPr>
              <w:t>. (</w:t>
            </w:r>
            <w:r w:rsidRPr="002A79D6">
              <w:rPr>
                <w:i/>
                <w:lang w:val="en-GB"/>
              </w:rPr>
              <w:t xml:space="preserve">A Theory of Structure: Duality, Agency and Transformation </w:t>
            </w:r>
            <w:r w:rsidRPr="002A79D6">
              <w:rPr>
                <w:lang w:val="en-GB"/>
              </w:rPr>
              <w:t>(pp. 124-151))</w:t>
            </w:r>
          </w:p>
        </w:tc>
      </w:tr>
    </w:tbl>
    <w:p w:rsidR="008010A2" w:rsidRPr="0008203A" w:rsidRDefault="008010A2" w:rsidP="00011462">
      <w:pPr>
        <w:rPr>
          <w:lang w:val="fr-FR"/>
        </w:rPr>
      </w:pPr>
      <w:bookmarkStart w:id="0" w:name="_GoBack"/>
      <w:bookmarkEnd w:id="0"/>
    </w:p>
    <w:p w:rsidR="008010A2" w:rsidRPr="0008203A" w:rsidRDefault="008010A2">
      <w:pPr>
        <w:rPr>
          <w:lang w:val="fr-FR"/>
        </w:rPr>
      </w:pPr>
    </w:p>
    <w:sectPr w:rsidR="008010A2" w:rsidRPr="0008203A" w:rsidSect="00D12733">
      <w:footerReference w:type="default" r:id="rId7"/>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41" w:rsidRDefault="00E14141" w:rsidP="00011462">
      <w:pPr>
        <w:spacing w:after="0" w:line="240" w:lineRule="auto"/>
      </w:pPr>
      <w:r>
        <w:separator/>
      </w:r>
    </w:p>
  </w:endnote>
  <w:endnote w:type="continuationSeparator" w:id="0">
    <w:p w:rsidR="00E14141" w:rsidRDefault="00E14141" w:rsidP="0001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A2" w:rsidRDefault="00E14141">
    <w:pPr>
      <w:pStyle w:val="Footer"/>
      <w:jc w:val="right"/>
    </w:pPr>
    <w:r>
      <w:fldChar w:fldCharType="begin"/>
    </w:r>
    <w:r>
      <w:instrText>PAGE   \* MERGEFORMAT</w:instrText>
    </w:r>
    <w:r>
      <w:fldChar w:fldCharType="separate"/>
    </w:r>
    <w:r w:rsidR="009A6F72" w:rsidRPr="009A6F72">
      <w:rPr>
        <w:noProof/>
        <w:lang w:val="hr-HR"/>
      </w:rPr>
      <w:t>2</w:t>
    </w:r>
    <w:r>
      <w:rPr>
        <w:noProof/>
        <w:lang w:val="hr-HR"/>
      </w:rPr>
      <w:fldChar w:fldCharType="end"/>
    </w:r>
  </w:p>
  <w:p w:rsidR="008010A2" w:rsidRDefault="00801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41" w:rsidRDefault="00E14141" w:rsidP="00011462">
      <w:pPr>
        <w:spacing w:after="0" w:line="240" w:lineRule="auto"/>
      </w:pPr>
      <w:r>
        <w:separator/>
      </w:r>
    </w:p>
  </w:footnote>
  <w:footnote w:type="continuationSeparator" w:id="0">
    <w:p w:rsidR="00E14141" w:rsidRDefault="00E14141" w:rsidP="00011462">
      <w:pPr>
        <w:spacing w:after="0" w:line="240" w:lineRule="auto"/>
      </w:pPr>
      <w:r>
        <w:continuationSeparator/>
      </w:r>
    </w:p>
  </w:footnote>
  <w:footnote w:id="1">
    <w:p w:rsidR="008010A2" w:rsidRDefault="008010A2" w:rsidP="00011462">
      <w:pPr>
        <w:spacing w:after="0" w:line="240" w:lineRule="auto"/>
        <w:jc w:val="both"/>
      </w:pPr>
      <w:r w:rsidRPr="00D12733">
        <w:rPr>
          <w:rStyle w:val="FootnoteReference"/>
          <w:rFonts w:cs="Calibri"/>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8010A2" w:rsidRDefault="008010A2" w:rsidP="00011462">
      <w:pPr>
        <w:spacing w:after="0" w:line="240" w:lineRule="auto"/>
        <w:jc w:val="both"/>
      </w:pPr>
      <w:r w:rsidRPr="00D12733">
        <w:rPr>
          <w:rStyle w:val="FootnoteReference"/>
          <w:rFonts w:cs="Calibri"/>
          <w:sz w:val="20"/>
          <w:szCs w:val="20"/>
        </w:rPr>
        <w:footnoteRef/>
      </w:r>
      <w:r w:rsidRPr="00D12733">
        <w:rPr>
          <w:sz w:val="20"/>
          <w:szCs w:val="20"/>
        </w:rPr>
        <w:t xml:space="preserve"> Winter, Summer, Academic Year</w:t>
      </w:r>
    </w:p>
  </w:footnote>
  <w:footnote w:id="3">
    <w:p w:rsidR="008010A2" w:rsidRDefault="008010A2" w:rsidP="00011462">
      <w:pPr>
        <w:pStyle w:val="FootnoteText"/>
        <w:jc w:val="both"/>
      </w:pPr>
      <w:r>
        <w:rPr>
          <w:rStyle w:val="FootnoteReference"/>
          <w:rFonts w:cs="Calibri"/>
        </w:rPr>
        <w:footnoteRef/>
      </w:r>
      <w:r>
        <w:t xml:space="preserve"> Teaching language according to the regular programme (e.g. Croatian, French, Slovenian…)</w:t>
      </w:r>
    </w:p>
  </w:footnote>
  <w:footnote w:id="4">
    <w:p w:rsidR="008010A2" w:rsidRDefault="008010A2" w:rsidP="00011462">
      <w:pPr>
        <w:pStyle w:val="FootnoteText"/>
        <w:jc w:val="both"/>
      </w:pPr>
      <w:r w:rsidRPr="00D12733">
        <w:rPr>
          <w:rStyle w:val="FootnoteReference"/>
          <w:rFonts w:cs="Calibri"/>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8010A2" w:rsidRDefault="008010A2" w:rsidP="00011462">
      <w:pPr>
        <w:pStyle w:val="FootnoteText"/>
        <w:jc w:val="both"/>
      </w:pPr>
      <w:r w:rsidRPr="00D12733">
        <w:rPr>
          <w:rStyle w:val="FootnoteReference"/>
          <w:rFonts w:cs="Calibri"/>
        </w:rPr>
        <w:footnoteRef/>
      </w:r>
      <w:r w:rsidRPr="00D12733">
        <w:t xml:space="preserve"> </w:t>
      </w:r>
      <w:r w:rsidRPr="00D12733">
        <w:rPr>
          <w:lang w:val="hr-HR"/>
        </w:rPr>
        <w:t>According to CEFR (e.g. English B2, German C1…)</w:t>
      </w:r>
    </w:p>
  </w:footnote>
  <w:footnote w:id="6">
    <w:p w:rsidR="008010A2" w:rsidRDefault="008010A2" w:rsidP="00011462">
      <w:pPr>
        <w:pStyle w:val="FootnoteText"/>
        <w:jc w:val="both"/>
      </w:pPr>
      <w:r w:rsidRPr="00D12733">
        <w:rPr>
          <w:rStyle w:val="FootnoteReference"/>
          <w:rFonts w:cs="Calibri"/>
        </w:rPr>
        <w:footnoteRef/>
      </w:r>
      <w:r>
        <w:t xml:space="preserve"> </w:t>
      </w:r>
      <w:r w:rsidRPr="00D933EA">
        <w:rPr>
          <w:b/>
          <w:bCs/>
        </w:rPr>
        <w:t>Language options for guest (exchange) students):</w:t>
      </w:r>
    </w:p>
    <w:p w:rsidR="008010A2" w:rsidRPr="00D12733" w:rsidRDefault="008010A2" w:rsidP="00011462">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8010A2" w:rsidRDefault="008010A2" w:rsidP="00011462">
      <w:pPr>
        <w:pStyle w:val="FootnoteText"/>
        <w:jc w:val="both"/>
      </w:pPr>
      <w:r w:rsidRPr="00D12733">
        <w:t>L2 - All teaching activities will be held</w:t>
      </w:r>
      <w:r>
        <w:t xml:space="preserve"> </w:t>
      </w:r>
      <w:r w:rsidRPr="00D12733">
        <w:t>in regular teaching language</w:t>
      </w:r>
      <w:r>
        <w:t xml:space="preserve"> only</w:t>
      </w:r>
      <w:r w:rsidRPr="00D12733">
        <w:t>.</w:t>
      </w:r>
    </w:p>
  </w:footnote>
  <w:footnote w:id="7">
    <w:p w:rsidR="008010A2" w:rsidRDefault="008010A2" w:rsidP="00011462">
      <w:pPr>
        <w:spacing w:after="0" w:line="240" w:lineRule="auto"/>
        <w:jc w:val="both"/>
      </w:pPr>
      <w:r w:rsidRPr="00D12733">
        <w:rPr>
          <w:rStyle w:val="FootnoteReference"/>
          <w:rFonts w:cs="Calibri"/>
          <w:sz w:val="20"/>
          <w:szCs w:val="20"/>
        </w:rPr>
        <w:footnoteRef/>
      </w:r>
      <w:r w:rsidRPr="00D12733">
        <w:rPr>
          <w:sz w:val="20"/>
          <w:szCs w:val="20"/>
        </w:rPr>
        <w:t xml:space="preserve"> Class attendance, Essay, Preliminary exam, Seminar paper, Practical work, Written exam, Oral Exam, Other (specify)</w:t>
      </w:r>
    </w:p>
  </w:footnote>
  <w:footnote w:id="8">
    <w:p w:rsidR="008010A2" w:rsidRPr="00D12733" w:rsidRDefault="008010A2" w:rsidP="00011462">
      <w:pPr>
        <w:spacing w:after="0" w:line="240" w:lineRule="auto"/>
        <w:jc w:val="both"/>
        <w:rPr>
          <w:sz w:val="20"/>
          <w:szCs w:val="20"/>
        </w:rPr>
      </w:pPr>
      <w:r w:rsidRPr="00D12733">
        <w:rPr>
          <w:rStyle w:val="FootnoteReference"/>
          <w:rFonts w:cs="Calibri"/>
          <w:sz w:val="20"/>
          <w:szCs w:val="20"/>
        </w:rPr>
        <w:footnoteRef/>
      </w:r>
      <w:r w:rsidRPr="00D12733">
        <w:rPr>
          <w:sz w:val="20"/>
          <w:szCs w:val="20"/>
        </w:rPr>
        <w:t xml:space="preserve"> Standard - the institutional grading system (5 Excellent; 4 Very good; 3 Good; 2 Sufficient; 1 Fail)</w:t>
      </w:r>
    </w:p>
    <w:p w:rsidR="008010A2" w:rsidRPr="00D12733" w:rsidRDefault="008010A2" w:rsidP="00011462">
      <w:pPr>
        <w:spacing w:after="0" w:line="240" w:lineRule="auto"/>
        <w:jc w:val="both"/>
        <w:rPr>
          <w:sz w:val="20"/>
          <w:szCs w:val="20"/>
        </w:rPr>
      </w:pPr>
      <w:r w:rsidRPr="00D12733">
        <w:rPr>
          <w:sz w:val="20"/>
          <w:szCs w:val="20"/>
        </w:rPr>
        <w:t xml:space="preserve">Additional: </w:t>
      </w:r>
    </w:p>
    <w:p w:rsidR="008010A2" w:rsidRPr="00D12733" w:rsidRDefault="008010A2" w:rsidP="00011462">
      <w:pPr>
        <w:spacing w:after="0" w:line="240" w:lineRule="auto"/>
        <w:jc w:val="both"/>
        <w:rPr>
          <w:sz w:val="20"/>
          <w:szCs w:val="20"/>
        </w:rPr>
      </w:pPr>
      <w:r w:rsidRPr="00D12733">
        <w:rPr>
          <w:sz w:val="20"/>
          <w:szCs w:val="20"/>
        </w:rPr>
        <w:t>RA - Regular Attendance (No ECTS credits awarded for course attendance only)</w:t>
      </w:r>
    </w:p>
    <w:p w:rsidR="008010A2" w:rsidRPr="00D12733" w:rsidRDefault="008010A2" w:rsidP="00011462">
      <w:pPr>
        <w:spacing w:after="0" w:line="240" w:lineRule="auto"/>
        <w:jc w:val="both"/>
        <w:rPr>
          <w:sz w:val="20"/>
          <w:szCs w:val="20"/>
        </w:rPr>
      </w:pPr>
      <w:r w:rsidRPr="00D12733">
        <w:rPr>
          <w:sz w:val="20"/>
          <w:szCs w:val="20"/>
        </w:rPr>
        <w:t>C - Completed (Student has completed pr</w:t>
      </w:r>
      <w:r>
        <w:rPr>
          <w:sz w:val="20"/>
          <w:szCs w:val="20"/>
        </w:rPr>
        <w:t>e</w:t>
      </w:r>
      <w:r w:rsidRPr="00D12733">
        <w:rPr>
          <w:sz w:val="20"/>
          <w:szCs w:val="20"/>
        </w:rPr>
        <w:t>scribed obligations/no ECTS credits awarded)</w:t>
      </w:r>
    </w:p>
    <w:p w:rsidR="008010A2" w:rsidRPr="00D12733" w:rsidRDefault="008010A2" w:rsidP="00011462">
      <w:pPr>
        <w:spacing w:after="0" w:line="240" w:lineRule="auto"/>
        <w:jc w:val="both"/>
        <w:rPr>
          <w:sz w:val="20"/>
          <w:szCs w:val="20"/>
        </w:rPr>
      </w:pPr>
      <w:r w:rsidRPr="00D12733">
        <w:rPr>
          <w:sz w:val="20"/>
          <w:szCs w:val="20"/>
        </w:rPr>
        <w:t>C+ – Completed + ECTS (Student has completed pr</w:t>
      </w:r>
      <w:r>
        <w:rPr>
          <w:sz w:val="20"/>
          <w:szCs w:val="20"/>
        </w:rPr>
        <w:t>e</w:t>
      </w:r>
      <w:r w:rsidRPr="00D12733">
        <w:rPr>
          <w:sz w:val="20"/>
          <w:szCs w:val="20"/>
        </w:rPr>
        <w:t>scribed obligations + ECTS credits awarded)</w:t>
      </w:r>
    </w:p>
    <w:p w:rsidR="008010A2" w:rsidRDefault="008010A2" w:rsidP="00011462">
      <w:pPr>
        <w:spacing w:after="0" w:line="240"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E2C42"/>
    <w:multiLevelType w:val="hybridMultilevel"/>
    <w:tmpl w:val="C0F8649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462"/>
    <w:rsid w:val="00011462"/>
    <w:rsid w:val="00013D35"/>
    <w:rsid w:val="00020AE5"/>
    <w:rsid w:val="0002153D"/>
    <w:rsid w:val="00024355"/>
    <w:rsid w:val="000401B6"/>
    <w:rsid w:val="0006043C"/>
    <w:rsid w:val="0008203A"/>
    <w:rsid w:val="0008361D"/>
    <w:rsid w:val="00083E0D"/>
    <w:rsid w:val="00095A08"/>
    <w:rsid w:val="000B5B3A"/>
    <w:rsid w:val="000D6806"/>
    <w:rsid w:val="000D6EC7"/>
    <w:rsid w:val="000D7C1D"/>
    <w:rsid w:val="000E32C0"/>
    <w:rsid w:val="000E40FD"/>
    <w:rsid w:val="00103ADC"/>
    <w:rsid w:val="00125C6D"/>
    <w:rsid w:val="00127E75"/>
    <w:rsid w:val="001314FD"/>
    <w:rsid w:val="0013621F"/>
    <w:rsid w:val="00136545"/>
    <w:rsid w:val="00142342"/>
    <w:rsid w:val="001464D8"/>
    <w:rsid w:val="001542D0"/>
    <w:rsid w:val="00163DD2"/>
    <w:rsid w:val="00167367"/>
    <w:rsid w:val="001871B4"/>
    <w:rsid w:val="001875F3"/>
    <w:rsid w:val="001B19C7"/>
    <w:rsid w:val="001D10B9"/>
    <w:rsid w:val="001D3365"/>
    <w:rsid w:val="001F71E8"/>
    <w:rsid w:val="00201137"/>
    <w:rsid w:val="002022BE"/>
    <w:rsid w:val="00214F56"/>
    <w:rsid w:val="002202F2"/>
    <w:rsid w:val="002207DD"/>
    <w:rsid w:val="002222B8"/>
    <w:rsid w:val="00225521"/>
    <w:rsid w:val="0027055D"/>
    <w:rsid w:val="00275178"/>
    <w:rsid w:val="00277A6F"/>
    <w:rsid w:val="00283E8D"/>
    <w:rsid w:val="0029359C"/>
    <w:rsid w:val="00295981"/>
    <w:rsid w:val="002A0981"/>
    <w:rsid w:val="002A79D6"/>
    <w:rsid w:val="002C5CEF"/>
    <w:rsid w:val="002D0266"/>
    <w:rsid w:val="002E2EB3"/>
    <w:rsid w:val="002E5C3A"/>
    <w:rsid w:val="00310978"/>
    <w:rsid w:val="00312C8B"/>
    <w:rsid w:val="00315B56"/>
    <w:rsid w:val="00317F4A"/>
    <w:rsid w:val="003319D1"/>
    <w:rsid w:val="003341D2"/>
    <w:rsid w:val="003360DA"/>
    <w:rsid w:val="00354C77"/>
    <w:rsid w:val="003576FB"/>
    <w:rsid w:val="003610AF"/>
    <w:rsid w:val="003715A8"/>
    <w:rsid w:val="0039096F"/>
    <w:rsid w:val="00392A3C"/>
    <w:rsid w:val="003A72A4"/>
    <w:rsid w:val="003C0F07"/>
    <w:rsid w:val="003C301E"/>
    <w:rsid w:val="003D379A"/>
    <w:rsid w:val="003D4AAB"/>
    <w:rsid w:val="004167B4"/>
    <w:rsid w:val="004363AD"/>
    <w:rsid w:val="004440F5"/>
    <w:rsid w:val="00446A9F"/>
    <w:rsid w:val="00464D2E"/>
    <w:rsid w:val="00485DD8"/>
    <w:rsid w:val="004C4AAE"/>
    <w:rsid w:val="004D4715"/>
    <w:rsid w:val="004F797D"/>
    <w:rsid w:val="005058B2"/>
    <w:rsid w:val="00506E35"/>
    <w:rsid w:val="005107EE"/>
    <w:rsid w:val="00521E7A"/>
    <w:rsid w:val="0056170E"/>
    <w:rsid w:val="005652C9"/>
    <w:rsid w:val="00570068"/>
    <w:rsid w:val="00576523"/>
    <w:rsid w:val="00577AD7"/>
    <w:rsid w:val="00582644"/>
    <w:rsid w:val="00590BB3"/>
    <w:rsid w:val="005961C5"/>
    <w:rsid w:val="00596E37"/>
    <w:rsid w:val="005B64AA"/>
    <w:rsid w:val="005C1625"/>
    <w:rsid w:val="005C22C7"/>
    <w:rsid w:val="005C591A"/>
    <w:rsid w:val="005E54F5"/>
    <w:rsid w:val="005F6812"/>
    <w:rsid w:val="005F742D"/>
    <w:rsid w:val="0061148D"/>
    <w:rsid w:val="006173E6"/>
    <w:rsid w:val="00620CED"/>
    <w:rsid w:val="006426DF"/>
    <w:rsid w:val="006A6390"/>
    <w:rsid w:val="006B608D"/>
    <w:rsid w:val="006C45E2"/>
    <w:rsid w:val="006D651E"/>
    <w:rsid w:val="00705997"/>
    <w:rsid w:val="00712250"/>
    <w:rsid w:val="00734BD7"/>
    <w:rsid w:val="007404EB"/>
    <w:rsid w:val="00740BFA"/>
    <w:rsid w:val="0074333A"/>
    <w:rsid w:val="0075281E"/>
    <w:rsid w:val="00762A08"/>
    <w:rsid w:val="007750F0"/>
    <w:rsid w:val="00791489"/>
    <w:rsid w:val="007969B5"/>
    <w:rsid w:val="007A16C0"/>
    <w:rsid w:val="007A2A9D"/>
    <w:rsid w:val="007B0E82"/>
    <w:rsid w:val="007C383E"/>
    <w:rsid w:val="007D19CF"/>
    <w:rsid w:val="007D4A9C"/>
    <w:rsid w:val="007D6421"/>
    <w:rsid w:val="007E31D6"/>
    <w:rsid w:val="008010A2"/>
    <w:rsid w:val="00805352"/>
    <w:rsid w:val="00811F13"/>
    <w:rsid w:val="008201CC"/>
    <w:rsid w:val="008305DD"/>
    <w:rsid w:val="00832B04"/>
    <w:rsid w:val="008609B0"/>
    <w:rsid w:val="00872ABD"/>
    <w:rsid w:val="00883BCF"/>
    <w:rsid w:val="0088704F"/>
    <w:rsid w:val="0089111F"/>
    <w:rsid w:val="008A073E"/>
    <w:rsid w:val="008A1DAB"/>
    <w:rsid w:val="008B0F5D"/>
    <w:rsid w:val="008D7A51"/>
    <w:rsid w:val="008E0FD6"/>
    <w:rsid w:val="008E4431"/>
    <w:rsid w:val="00912736"/>
    <w:rsid w:val="00943D49"/>
    <w:rsid w:val="00944C99"/>
    <w:rsid w:val="00953710"/>
    <w:rsid w:val="009544F4"/>
    <w:rsid w:val="00966BBA"/>
    <w:rsid w:val="00973004"/>
    <w:rsid w:val="00975A45"/>
    <w:rsid w:val="00975C76"/>
    <w:rsid w:val="009839AE"/>
    <w:rsid w:val="009A6F72"/>
    <w:rsid w:val="009A7D3A"/>
    <w:rsid w:val="009E2035"/>
    <w:rsid w:val="009E4E85"/>
    <w:rsid w:val="009F6DA8"/>
    <w:rsid w:val="00A02F9B"/>
    <w:rsid w:val="00A06C73"/>
    <w:rsid w:val="00A20292"/>
    <w:rsid w:val="00A3648F"/>
    <w:rsid w:val="00A60955"/>
    <w:rsid w:val="00A913F6"/>
    <w:rsid w:val="00A95926"/>
    <w:rsid w:val="00A967A6"/>
    <w:rsid w:val="00AA3EF0"/>
    <w:rsid w:val="00AA47B7"/>
    <w:rsid w:val="00AC544D"/>
    <w:rsid w:val="00AC63F7"/>
    <w:rsid w:val="00AD0DE6"/>
    <w:rsid w:val="00AE589E"/>
    <w:rsid w:val="00AF0756"/>
    <w:rsid w:val="00B21FDF"/>
    <w:rsid w:val="00B634D3"/>
    <w:rsid w:val="00B77EF5"/>
    <w:rsid w:val="00B961CB"/>
    <w:rsid w:val="00BA05BF"/>
    <w:rsid w:val="00BA0935"/>
    <w:rsid w:val="00BA0B3E"/>
    <w:rsid w:val="00BB566A"/>
    <w:rsid w:val="00C213C3"/>
    <w:rsid w:val="00C23CFF"/>
    <w:rsid w:val="00C25184"/>
    <w:rsid w:val="00C30AD5"/>
    <w:rsid w:val="00C35C41"/>
    <w:rsid w:val="00C40824"/>
    <w:rsid w:val="00C41E92"/>
    <w:rsid w:val="00C50F80"/>
    <w:rsid w:val="00C514B1"/>
    <w:rsid w:val="00C61486"/>
    <w:rsid w:val="00C64195"/>
    <w:rsid w:val="00C649A0"/>
    <w:rsid w:val="00CA1A74"/>
    <w:rsid w:val="00CB528A"/>
    <w:rsid w:val="00CE58D2"/>
    <w:rsid w:val="00CE726F"/>
    <w:rsid w:val="00CF3FF6"/>
    <w:rsid w:val="00CF7A66"/>
    <w:rsid w:val="00D06704"/>
    <w:rsid w:val="00D12733"/>
    <w:rsid w:val="00D301DD"/>
    <w:rsid w:val="00D36C2C"/>
    <w:rsid w:val="00D53E93"/>
    <w:rsid w:val="00D56E76"/>
    <w:rsid w:val="00D77C47"/>
    <w:rsid w:val="00D933EA"/>
    <w:rsid w:val="00DC46FE"/>
    <w:rsid w:val="00DD2756"/>
    <w:rsid w:val="00DD60CE"/>
    <w:rsid w:val="00DE5408"/>
    <w:rsid w:val="00E13245"/>
    <w:rsid w:val="00E14141"/>
    <w:rsid w:val="00E339AC"/>
    <w:rsid w:val="00E610F8"/>
    <w:rsid w:val="00E6409A"/>
    <w:rsid w:val="00E77215"/>
    <w:rsid w:val="00E80E47"/>
    <w:rsid w:val="00E91955"/>
    <w:rsid w:val="00E95FE4"/>
    <w:rsid w:val="00E97AEE"/>
    <w:rsid w:val="00EA35F1"/>
    <w:rsid w:val="00EA3D20"/>
    <w:rsid w:val="00ED0FE2"/>
    <w:rsid w:val="00EE4300"/>
    <w:rsid w:val="00EE4361"/>
    <w:rsid w:val="00F125CE"/>
    <w:rsid w:val="00F276DF"/>
    <w:rsid w:val="00F314DF"/>
    <w:rsid w:val="00F37D40"/>
    <w:rsid w:val="00F425F4"/>
    <w:rsid w:val="00F532CB"/>
    <w:rsid w:val="00F76F4D"/>
    <w:rsid w:val="00F81BCD"/>
    <w:rsid w:val="00F87CAF"/>
    <w:rsid w:val="00F927E7"/>
    <w:rsid w:val="00FA7654"/>
    <w:rsid w:val="00FB2E1F"/>
    <w:rsid w:val="00FF04BC"/>
    <w:rsid w:val="00FF40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docId w15:val="{FD892247-BCC4-4BD8-A808-FA4396C7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462"/>
    <w:pPr>
      <w:spacing w:after="160" w:line="259"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11462"/>
    <w:pPr>
      <w:spacing w:after="0" w:line="240" w:lineRule="auto"/>
    </w:pPr>
    <w:rPr>
      <w:sz w:val="20"/>
      <w:szCs w:val="20"/>
    </w:rPr>
  </w:style>
  <w:style w:type="character" w:customStyle="1" w:styleId="FootnoteTextChar">
    <w:name w:val="Footnote Text Char"/>
    <w:link w:val="FootnoteText"/>
    <w:uiPriority w:val="99"/>
    <w:semiHidden/>
    <w:locked/>
    <w:rsid w:val="00011462"/>
    <w:rPr>
      <w:rFonts w:ascii="Calibri" w:eastAsia="Times New Roman" w:hAnsi="Calibri" w:cs="Calibri"/>
      <w:sz w:val="20"/>
      <w:szCs w:val="20"/>
      <w:lang w:val="en-US"/>
    </w:rPr>
  </w:style>
  <w:style w:type="character" w:styleId="FootnoteReference">
    <w:name w:val="footnote reference"/>
    <w:uiPriority w:val="99"/>
    <w:semiHidden/>
    <w:rsid w:val="00011462"/>
    <w:rPr>
      <w:rFonts w:cs="Times New Roman"/>
      <w:vertAlign w:val="superscript"/>
    </w:rPr>
  </w:style>
  <w:style w:type="paragraph" w:styleId="Footer">
    <w:name w:val="footer"/>
    <w:basedOn w:val="Normal"/>
    <w:link w:val="FooterChar"/>
    <w:uiPriority w:val="99"/>
    <w:rsid w:val="00011462"/>
    <w:pPr>
      <w:tabs>
        <w:tab w:val="center" w:pos="4536"/>
        <w:tab w:val="right" w:pos="9072"/>
      </w:tabs>
    </w:pPr>
  </w:style>
  <w:style w:type="character" w:customStyle="1" w:styleId="FooterChar">
    <w:name w:val="Footer Char"/>
    <w:link w:val="Footer"/>
    <w:uiPriority w:val="99"/>
    <w:locked/>
    <w:rsid w:val="00011462"/>
    <w:rPr>
      <w:rFonts w:ascii="Calibri" w:eastAsia="Times New Roman" w:hAnsi="Calibri" w:cs="Calibri"/>
      <w:sz w:val="22"/>
      <w:lang w:val="en-US"/>
    </w:rPr>
  </w:style>
  <w:style w:type="paragraph" w:styleId="BalloonText">
    <w:name w:val="Balloon Text"/>
    <w:basedOn w:val="Normal"/>
    <w:link w:val="BalloonTextChar"/>
    <w:uiPriority w:val="99"/>
    <w:semiHidden/>
    <w:rsid w:val="004D471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4D471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Visnja Bartolovic</dc:creator>
  <cp:keywords/>
  <dc:description/>
  <cp:lastModifiedBy>Ivana</cp:lastModifiedBy>
  <cp:revision>8</cp:revision>
  <dcterms:created xsi:type="dcterms:W3CDTF">2019-03-04T14:06:00Z</dcterms:created>
  <dcterms:modified xsi:type="dcterms:W3CDTF">2019-04-25T14:57:00Z</dcterms:modified>
</cp:coreProperties>
</file>