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F96A7C" w:rsidRPr="00F2518D" w:rsidTr="00EC7931">
        <w:tc>
          <w:tcPr>
            <w:tcW w:w="9396" w:type="dxa"/>
            <w:gridSpan w:val="3"/>
          </w:tcPr>
          <w:p w:rsidR="00F96A7C" w:rsidRPr="00F2518D" w:rsidRDefault="00F96A7C" w:rsidP="00EC7931">
            <w:pPr>
              <w:rPr>
                <w:rFonts w:cs="Calibri"/>
              </w:rPr>
            </w:pPr>
            <w:r w:rsidRPr="00F2518D">
              <w:rPr>
                <w:rFonts w:cs="Calibri"/>
              </w:rPr>
              <w:t xml:space="preserve">STUDY PROGRAMME: </w:t>
            </w:r>
          </w:p>
          <w:p w:rsidR="00F96A7C" w:rsidRPr="00F2518D" w:rsidRDefault="00F96A7C" w:rsidP="00EC7931">
            <w:pPr>
              <w:rPr>
                <w:rFonts w:cs="Calibri"/>
              </w:rPr>
            </w:pPr>
            <w:r w:rsidRPr="00F2518D">
              <w:rPr>
                <w:rFonts w:cs="Calibri"/>
              </w:rPr>
              <w:t>Phonetics</w:t>
            </w:r>
            <w:r w:rsidR="005453B9" w:rsidRPr="00F2518D">
              <w:rPr>
                <w:rFonts w:cs="Calibri"/>
              </w:rPr>
              <w:t xml:space="preserve"> (</w:t>
            </w:r>
            <w:r w:rsidR="00013C62" w:rsidRPr="00F2518D">
              <w:rPr>
                <w:rFonts w:cs="Calibri"/>
              </w:rPr>
              <w:t xml:space="preserve">also </w:t>
            </w:r>
            <w:r w:rsidR="005453B9" w:rsidRPr="00F2518D">
              <w:rPr>
                <w:rFonts w:cs="Calibri"/>
              </w:rPr>
              <w:t>offered to other departments)</w:t>
            </w:r>
          </w:p>
        </w:tc>
      </w:tr>
      <w:tr w:rsidR="00F96A7C" w:rsidRPr="00F2518D" w:rsidTr="00EC7931">
        <w:tc>
          <w:tcPr>
            <w:tcW w:w="9396" w:type="dxa"/>
            <w:gridSpan w:val="3"/>
          </w:tcPr>
          <w:p w:rsidR="00F96A7C" w:rsidRPr="00F2518D" w:rsidRDefault="00F96A7C" w:rsidP="00EC7931">
            <w:pPr>
              <w:rPr>
                <w:rFonts w:cs="Calibri"/>
                <w:color w:val="FF0000"/>
              </w:rPr>
            </w:pPr>
            <w:r w:rsidRPr="00F2518D">
              <w:rPr>
                <w:rFonts w:cs="Calibri"/>
              </w:rPr>
              <w:t>Level and Year</w:t>
            </w:r>
            <w:r w:rsidRPr="00F2518D">
              <w:rPr>
                <w:rStyle w:val="FootnoteReference"/>
                <w:rFonts w:cs="Calibri"/>
              </w:rPr>
              <w:footnoteReference w:id="1"/>
            </w:r>
            <w:r w:rsidRPr="00F2518D">
              <w:rPr>
                <w:rFonts w:cs="Calibri"/>
              </w:rPr>
              <w:t xml:space="preserve">: </w:t>
            </w:r>
            <w:r w:rsidRPr="00F2518D">
              <w:rPr>
                <w:rFonts w:cs="Calibri"/>
                <w:color w:val="FF0000"/>
              </w:rPr>
              <w:t xml:space="preserve"> MA (1</w:t>
            </w:r>
            <w:r w:rsidRPr="00F2518D">
              <w:rPr>
                <w:rFonts w:cs="Calibri"/>
                <w:color w:val="FF0000"/>
                <w:vertAlign w:val="superscript"/>
              </w:rPr>
              <w:t>st</w:t>
            </w:r>
            <w:r w:rsidRPr="00F2518D">
              <w:rPr>
                <w:rFonts w:cs="Calibri"/>
                <w:color w:val="FF0000"/>
              </w:rPr>
              <w:t xml:space="preserve"> or 2</w:t>
            </w:r>
            <w:r w:rsidRPr="00F2518D">
              <w:rPr>
                <w:rFonts w:cs="Calibri"/>
                <w:color w:val="FF0000"/>
                <w:vertAlign w:val="superscript"/>
              </w:rPr>
              <w:t>nd</w:t>
            </w:r>
            <w:r w:rsidRPr="00F2518D">
              <w:rPr>
                <w:rFonts w:cs="Calibri"/>
                <w:color w:val="FF0000"/>
              </w:rPr>
              <w:t xml:space="preserve"> year)</w:t>
            </w: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Course Title:</w:t>
            </w:r>
            <w:r w:rsidR="007805B9" w:rsidRPr="00F2518D">
              <w:rPr>
                <w:rFonts w:cs="Calibri"/>
              </w:rPr>
              <w:t xml:space="preserve"> Neurolinguistics</w:t>
            </w:r>
          </w:p>
          <w:p w:rsidR="00F96A7C" w:rsidRPr="00F2518D" w:rsidRDefault="00F96A7C" w:rsidP="00EC7931">
            <w:pPr>
              <w:rPr>
                <w:rFonts w:cs="Calibri"/>
              </w:rPr>
            </w:pPr>
          </w:p>
        </w:tc>
      </w:tr>
      <w:tr w:rsidR="00F96A7C" w:rsidRPr="00F2518D" w:rsidTr="00EC7931">
        <w:tc>
          <w:tcPr>
            <w:tcW w:w="9396" w:type="dxa"/>
            <w:gridSpan w:val="3"/>
          </w:tcPr>
          <w:p w:rsidR="007805B9" w:rsidRPr="00F2518D" w:rsidRDefault="007805B9" w:rsidP="007805B9">
            <w:pPr>
              <w:tabs>
                <w:tab w:val="left" w:pos="-720"/>
              </w:tabs>
              <w:suppressAutoHyphens/>
              <w:rPr>
                <w:spacing w:val="-3"/>
              </w:rPr>
            </w:pPr>
            <w:r w:rsidRPr="00F2518D">
              <w:rPr>
                <w:spacing w:val="-3"/>
              </w:rPr>
              <w:t xml:space="preserve">This is an introductory course in neurolinguistics designed primarily for students of linguistics, phonetics and languages. The topics covered include neuroanatomy and neurophysiology, sex differences, history of neurolinguistics, research methods, theories and models of the central nervous system functioning, lateralization and localization of functions, learning and memory, various aspects of speech and language. </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1</w:t>
            </w:r>
            <w:r w:rsidRPr="00F2518D">
              <w:rPr>
                <w:spacing w:val="-3"/>
              </w:rPr>
              <w:tab/>
              <w:t xml:space="preserve">The central nervous system – development, structure and organization; </w:t>
            </w:r>
            <w:r w:rsidRPr="00F2518D">
              <w:rPr>
                <w:spacing w:val="-3"/>
              </w:rPr>
              <w:br/>
              <w:t>sensation and perception</w:t>
            </w:r>
          </w:p>
          <w:p w:rsidR="007805B9" w:rsidRPr="00F2518D" w:rsidRDefault="007805B9" w:rsidP="007805B9">
            <w:pPr>
              <w:numPr>
                <w:ilvl w:val="0"/>
                <w:numId w:val="6"/>
              </w:numPr>
              <w:tabs>
                <w:tab w:val="left" w:pos="-720"/>
              </w:tabs>
              <w:suppressAutoHyphens/>
              <w:overflowPunct w:val="0"/>
              <w:autoSpaceDE w:val="0"/>
              <w:autoSpaceDN w:val="0"/>
              <w:adjustRightInd w:val="0"/>
              <w:rPr>
                <w:spacing w:val="-3"/>
              </w:rPr>
            </w:pPr>
            <w:r w:rsidRPr="00F2518D">
              <w:rPr>
                <w:spacing w:val="-3"/>
              </w:rPr>
              <w:t>Week 2</w:t>
            </w:r>
            <w:r w:rsidRPr="00F2518D">
              <w:rPr>
                <w:spacing w:val="-3"/>
              </w:rPr>
              <w:tab/>
              <w:t>Neural bases of speech perception and production</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3</w:t>
            </w:r>
            <w:r w:rsidRPr="00F2518D">
              <w:rPr>
                <w:spacing w:val="-3"/>
              </w:rPr>
              <w:tab/>
              <w:t xml:space="preserve">Review of the topics covered in weeks 1&amp;2; </w:t>
            </w:r>
            <w:r w:rsidRPr="00F2518D">
              <w:rPr>
                <w:spacing w:val="-3"/>
              </w:rPr>
              <w:br/>
              <w:t>Sex differences: structural differences, differences in functional organization of the brain, behavioral and cognitive differences; brief history of neurolinguistics</w:t>
            </w:r>
          </w:p>
          <w:p w:rsidR="007805B9" w:rsidRPr="00F2518D" w:rsidRDefault="007805B9" w:rsidP="007805B9">
            <w:pPr>
              <w:numPr>
                <w:ilvl w:val="0"/>
                <w:numId w:val="6"/>
              </w:numPr>
              <w:tabs>
                <w:tab w:val="left" w:pos="-720"/>
              </w:tabs>
              <w:suppressAutoHyphens/>
              <w:overflowPunct w:val="0"/>
              <w:autoSpaceDE w:val="0"/>
              <w:autoSpaceDN w:val="0"/>
              <w:adjustRightInd w:val="0"/>
              <w:rPr>
                <w:spacing w:val="-3"/>
              </w:rPr>
            </w:pPr>
            <w:r w:rsidRPr="00F2518D">
              <w:rPr>
                <w:spacing w:val="-3"/>
              </w:rPr>
              <w:t>Week 4</w:t>
            </w:r>
            <w:r w:rsidRPr="00F2518D">
              <w:rPr>
                <w:spacing w:val="-3"/>
              </w:rPr>
              <w:tab/>
              <w:t>Research methods: clinical studies, neuroimaging studies, behavioral tests</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5</w:t>
            </w:r>
            <w:r w:rsidRPr="00F2518D">
              <w:rPr>
                <w:spacing w:val="-3"/>
              </w:rPr>
              <w:tab/>
              <w:t xml:space="preserve">Review of the topics covered in weeks 3&amp;4; </w:t>
            </w:r>
            <w:r w:rsidRPr="00F2518D">
              <w:rPr>
                <w:spacing w:val="-3"/>
              </w:rPr>
              <w:br/>
              <w:t>Principles of structure, development and functioning of the central nervous system</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6</w:t>
            </w:r>
            <w:r w:rsidRPr="00F2518D">
              <w:rPr>
                <w:spacing w:val="-3"/>
              </w:rPr>
              <w:tab/>
              <w:t>Theories and models of structure, development and functioning of the central nervous system</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7</w:t>
            </w:r>
            <w:r w:rsidRPr="00F2518D">
              <w:rPr>
                <w:spacing w:val="-3"/>
              </w:rPr>
              <w:tab/>
              <w:t>Review of the topics covered in weeks 5&amp;6;</w:t>
            </w:r>
            <w:r w:rsidRPr="00F2518D">
              <w:rPr>
                <w:spacing w:val="-3"/>
              </w:rPr>
              <w:br/>
              <w:t>Lateralization and localization of functions: commonly used dichotomies, developmental aspects of lateralization, factors influencing lateralization and localization</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8</w:t>
            </w:r>
            <w:r w:rsidRPr="00F2518D">
              <w:rPr>
                <w:spacing w:val="-3"/>
              </w:rPr>
              <w:tab/>
              <w:t>Learning and memory: types of memory, neural substrates of memory, memory and language</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9</w:t>
            </w:r>
            <w:r w:rsidRPr="00F2518D">
              <w:rPr>
                <w:spacing w:val="-3"/>
              </w:rPr>
              <w:tab/>
              <w:t>Review of the topics covered in weeks 7&amp;8;</w:t>
            </w:r>
            <w:r w:rsidRPr="00F2518D">
              <w:rPr>
                <w:spacing w:val="-3"/>
              </w:rPr>
              <w:br/>
              <w:t>Speech and language – speech and language functions and their location in the brain; anatomic asymmetries and lateralization of speech and language</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10</w:t>
            </w:r>
            <w:r w:rsidRPr="00F2518D">
              <w:rPr>
                <w:spacing w:val="-3"/>
              </w:rPr>
              <w:tab/>
              <w:t>Phonetics and phonology; tone and prosody; Lexical level and mental lexicon</w:t>
            </w:r>
          </w:p>
          <w:p w:rsidR="007805B9" w:rsidRPr="00F2518D" w:rsidRDefault="007805B9" w:rsidP="007805B9">
            <w:pPr>
              <w:numPr>
                <w:ilvl w:val="0"/>
                <w:numId w:val="6"/>
              </w:numPr>
              <w:tabs>
                <w:tab w:val="left" w:pos="-720"/>
              </w:tabs>
              <w:suppressAutoHyphens/>
              <w:overflowPunct w:val="0"/>
              <w:autoSpaceDE w:val="0"/>
              <w:autoSpaceDN w:val="0"/>
              <w:adjustRightInd w:val="0"/>
              <w:rPr>
                <w:spacing w:val="-3"/>
              </w:rPr>
            </w:pPr>
            <w:r w:rsidRPr="00F2518D">
              <w:rPr>
                <w:spacing w:val="-3"/>
              </w:rPr>
              <w:t>Week 11</w:t>
            </w:r>
            <w:r w:rsidRPr="00F2518D">
              <w:rPr>
                <w:spacing w:val="-3"/>
              </w:rPr>
              <w:tab/>
              <w:t>Sentence level: syntax and semantics; Discourse and pragmatics</w:t>
            </w:r>
          </w:p>
          <w:p w:rsidR="007805B9" w:rsidRPr="00F2518D" w:rsidRDefault="007805B9" w:rsidP="007805B9">
            <w:pPr>
              <w:numPr>
                <w:ilvl w:val="0"/>
                <w:numId w:val="6"/>
              </w:numPr>
              <w:tabs>
                <w:tab w:val="left" w:pos="-720"/>
              </w:tabs>
              <w:suppressAutoHyphens/>
              <w:overflowPunct w:val="0"/>
              <w:autoSpaceDE w:val="0"/>
              <w:autoSpaceDN w:val="0"/>
              <w:adjustRightInd w:val="0"/>
              <w:rPr>
                <w:spacing w:val="-3"/>
              </w:rPr>
            </w:pPr>
            <w:r w:rsidRPr="00F2518D">
              <w:rPr>
                <w:spacing w:val="-3"/>
              </w:rPr>
              <w:t>Week 12</w:t>
            </w:r>
            <w:r w:rsidRPr="00F2518D">
              <w:rPr>
                <w:spacing w:val="-3"/>
              </w:rPr>
              <w:tab/>
              <w:t>Reading, writing, calculation; Language specificities; Is speech special?</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13</w:t>
            </w:r>
            <w:r w:rsidRPr="00F2518D">
              <w:rPr>
                <w:spacing w:val="-3"/>
              </w:rPr>
              <w:tab/>
              <w:t>Review of the topics covered in weeks 9 through 12;</w:t>
            </w:r>
            <w:r w:rsidRPr="00F2518D">
              <w:rPr>
                <w:spacing w:val="-3"/>
              </w:rPr>
              <w:br/>
              <w:t>Bilingualism; Language and the right hemisphere</w:t>
            </w:r>
          </w:p>
          <w:p w:rsidR="007805B9" w:rsidRPr="00F2518D" w:rsidRDefault="007805B9" w:rsidP="007805B9">
            <w:pPr>
              <w:numPr>
                <w:ilvl w:val="0"/>
                <w:numId w:val="6"/>
              </w:numPr>
              <w:tabs>
                <w:tab w:val="left" w:pos="-720"/>
              </w:tabs>
              <w:suppressAutoHyphens/>
              <w:overflowPunct w:val="0"/>
              <w:autoSpaceDE w:val="0"/>
              <w:autoSpaceDN w:val="0"/>
              <w:adjustRightInd w:val="0"/>
              <w:ind w:left="1418" w:hanging="1418"/>
              <w:rPr>
                <w:spacing w:val="-3"/>
              </w:rPr>
            </w:pPr>
            <w:r w:rsidRPr="00F2518D">
              <w:rPr>
                <w:spacing w:val="-3"/>
              </w:rPr>
              <w:t>Week 14</w:t>
            </w:r>
            <w:r w:rsidRPr="00F2518D">
              <w:rPr>
                <w:spacing w:val="-3"/>
              </w:rPr>
              <w:tab/>
              <w:t>Speech and language disorders; Patterns of recovery</w:t>
            </w:r>
          </w:p>
          <w:p w:rsidR="00F96A7C" w:rsidRPr="00F2518D" w:rsidRDefault="007805B9" w:rsidP="007805B9">
            <w:pPr>
              <w:pStyle w:val="ListParagraph"/>
              <w:numPr>
                <w:ilvl w:val="0"/>
                <w:numId w:val="6"/>
              </w:numPr>
              <w:rPr>
                <w:rFonts w:cs="Calibri"/>
              </w:rPr>
            </w:pPr>
            <w:r w:rsidRPr="00F2518D">
              <w:rPr>
                <w:spacing w:val="-3"/>
              </w:rPr>
              <w:t>Week 15</w:t>
            </w:r>
            <w:r w:rsidRPr="00F2518D">
              <w:rPr>
                <w:spacing w:val="-3"/>
              </w:rPr>
              <w:tab/>
              <w:t>Final test</w:t>
            </w:r>
          </w:p>
        </w:tc>
      </w:tr>
      <w:tr w:rsidR="00F96A7C" w:rsidRPr="00F2518D" w:rsidTr="00EC7931">
        <w:tc>
          <w:tcPr>
            <w:tcW w:w="9396" w:type="dxa"/>
            <w:gridSpan w:val="3"/>
          </w:tcPr>
          <w:p w:rsidR="00F96A7C" w:rsidRPr="00F2518D" w:rsidRDefault="00F96A7C" w:rsidP="007805B9">
            <w:pPr>
              <w:rPr>
                <w:rFonts w:cs="Calibri"/>
                <w:color w:val="FF0000"/>
              </w:rPr>
            </w:pPr>
            <w:r w:rsidRPr="00F2518D">
              <w:rPr>
                <w:rFonts w:cs="Calibri"/>
              </w:rPr>
              <w:t>Semester</w:t>
            </w:r>
            <w:r w:rsidRPr="00F2518D">
              <w:rPr>
                <w:rStyle w:val="FootnoteReference"/>
                <w:rFonts w:cs="Calibri"/>
              </w:rPr>
              <w:footnoteReference w:id="2"/>
            </w:r>
            <w:r w:rsidRPr="00F2518D">
              <w:rPr>
                <w:rFonts w:cs="Calibri"/>
              </w:rPr>
              <w:t>:</w:t>
            </w:r>
            <w:r w:rsidRPr="00F2518D">
              <w:rPr>
                <w:rFonts w:cs="Calibri"/>
                <w:color w:val="FF0000"/>
              </w:rPr>
              <w:t xml:space="preserve"> </w:t>
            </w:r>
            <w:r w:rsidR="007805B9" w:rsidRPr="00F2518D">
              <w:rPr>
                <w:rFonts w:cs="Calibri"/>
                <w:color w:val="FF0000"/>
              </w:rPr>
              <w:t>Summer</w:t>
            </w: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Lecturer(s)/Teacher(s): Professor Vesna Mildner, Ph.D.</w:t>
            </w:r>
          </w:p>
          <w:p w:rsidR="00F96A7C" w:rsidRPr="00F2518D" w:rsidRDefault="00F96A7C" w:rsidP="00EC7931">
            <w:pPr>
              <w:rPr>
                <w:rFonts w:cs="Calibri"/>
              </w:rPr>
            </w:pP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Teaching Language (regular)</w:t>
            </w:r>
            <w:r w:rsidRPr="00F2518D">
              <w:rPr>
                <w:rStyle w:val="FootnoteReference"/>
                <w:rFonts w:cs="Calibri"/>
              </w:rPr>
              <w:footnoteReference w:id="3"/>
            </w:r>
            <w:r w:rsidRPr="00F2518D">
              <w:rPr>
                <w:rFonts w:cs="Calibri"/>
              </w:rPr>
              <w:t>: English</w:t>
            </w: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Teaching Methods (regular):</w:t>
            </w:r>
            <w:r w:rsidRPr="00F2518D">
              <w:rPr>
                <w:rStyle w:val="FootnoteReference"/>
                <w:rFonts w:cs="Calibri"/>
              </w:rPr>
              <w:footnoteReference w:id="4"/>
            </w:r>
            <w:r w:rsidRPr="00F2518D">
              <w:rPr>
                <w:rFonts w:cs="Calibri"/>
              </w:rPr>
              <w:t xml:space="preserve"> Direct instructions</w:t>
            </w:r>
            <w:r w:rsidR="00C74E5B" w:rsidRPr="00F2518D">
              <w:rPr>
                <w:rFonts w:cs="Calibri"/>
              </w:rPr>
              <w:t xml:space="preserve">, </w:t>
            </w:r>
            <w:r w:rsidRPr="00F2518D">
              <w:rPr>
                <w:rFonts w:cs="Calibri"/>
              </w:rPr>
              <w:t>Omega</w:t>
            </w:r>
          </w:p>
          <w:p w:rsidR="00F96A7C" w:rsidRPr="00F2518D" w:rsidRDefault="00F96A7C" w:rsidP="00EC7931">
            <w:pPr>
              <w:rPr>
                <w:rFonts w:cs="Calibri"/>
              </w:rPr>
            </w:pPr>
          </w:p>
        </w:tc>
      </w:tr>
      <w:tr w:rsidR="00F96A7C" w:rsidRPr="00F2518D" w:rsidTr="00EC7931">
        <w:tc>
          <w:tcPr>
            <w:tcW w:w="3132" w:type="dxa"/>
          </w:tcPr>
          <w:p w:rsidR="00F96A7C" w:rsidRPr="00F2518D" w:rsidRDefault="00F96A7C" w:rsidP="00EC7931">
            <w:pPr>
              <w:rPr>
                <w:rFonts w:cs="Calibri"/>
              </w:rPr>
            </w:pPr>
            <w:r w:rsidRPr="00F2518D">
              <w:rPr>
                <w:rFonts w:cs="Calibri"/>
              </w:rPr>
              <w:t>Teaching:</w:t>
            </w:r>
          </w:p>
        </w:tc>
        <w:tc>
          <w:tcPr>
            <w:tcW w:w="3132" w:type="dxa"/>
          </w:tcPr>
          <w:p w:rsidR="00C74E5B" w:rsidRPr="00F2518D" w:rsidRDefault="00F96A7C" w:rsidP="00EC7931">
            <w:pPr>
              <w:rPr>
                <w:rFonts w:cs="Calibri"/>
              </w:rPr>
            </w:pPr>
            <w:r w:rsidRPr="00F2518D">
              <w:rPr>
                <w:rFonts w:cs="Calibri"/>
              </w:rPr>
              <w:t>Weekly (hours)</w:t>
            </w:r>
          </w:p>
        </w:tc>
        <w:tc>
          <w:tcPr>
            <w:tcW w:w="3132" w:type="dxa"/>
          </w:tcPr>
          <w:p w:rsidR="00F96A7C" w:rsidRPr="00F2518D" w:rsidRDefault="00F96A7C" w:rsidP="00EC7931">
            <w:pPr>
              <w:rPr>
                <w:rFonts w:cs="Calibri"/>
              </w:rPr>
            </w:pPr>
            <w:r w:rsidRPr="00F2518D">
              <w:rPr>
                <w:rFonts w:cs="Calibri"/>
              </w:rPr>
              <w:t>Semester (hours)</w:t>
            </w:r>
          </w:p>
          <w:p w:rsidR="00F96A7C" w:rsidRPr="00F2518D" w:rsidRDefault="00F96A7C" w:rsidP="00EC7931">
            <w:pPr>
              <w:rPr>
                <w:rFonts w:cs="Calibri"/>
              </w:rPr>
            </w:pPr>
          </w:p>
        </w:tc>
      </w:tr>
      <w:tr w:rsidR="00F96A7C" w:rsidRPr="00F2518D" w:rsidTr="00EC7931">
        <w:tc>
          <w:tcPr>
            <w:tcW w:w="3132" w:type="dxa"/>
          </w:tcPr>
          <w:p w:rsidR="00F96A7C" w:rsidRPr="00F2518D" w:rsidRDefault="00F96A7C" w:rsidP="00EC7931">
            <w:pPr>
              <w:rPr>
                <w:rFonts w:cs="Calibri"/>
              </w:rPr>
            </w:pPr>
            <w:r w:rsidRPr="00F2518D">
              <w:rPr>
                <w:rFonts w:cs="Calibri"/>
              </w:rPr>
              <w:t>Lectures:</w:t>
            </w:r>
          </w:p>
        </w:tc>
        <w:tc>
          <w:tcPr>
            <w:tcW w:w="3132" w:type="dxa"/>
          </w:tcPr>
          <w:p w:rsidR="00F96A7C" w:rsidRPr="00F2518D" w:rsidRDefault="007805B9" w:rsidP="00EC7931">
            <w:pPr>
              <w:rPr>
                <w:rFonts w:cs="Calibri"/>
              </w:rPr>
            </w:pPr>
            <w:r w:rsidRPr="00F2518D">
              <w:rPr>
                <w:rFonts w:cs="Calibri"/>
              </w:rPr>
              <w:t>2</w:t>
            </w:r>
          </w:p>
        </w:tc>
        <w:tc>
          <w:tcPr>
            <w:tcW w:w="3132" w:type="dxa"/>
          </w:tcPr>
          <w:p w:rsidR="00F96A7C" w:rsidRPr="00F2518D" w:rsidRDefault="007805B9" w:rsidP="00EC7931">
            <w:pPr>
              <w:rPr>
                <w:rFonts w:cs="Calibri"/>
              </w:rPr>
            </w:pPr>
            <w:r w:rsidRPr="00F2518D">
              <w:rPr>
                <w:rFonts w:cs="Calibri"/>
              </w:rPr>
              <w:t>30</w:t>
            </w:r>
          </w:p>
        </w:tc>
      </w:tr>
      <w:tr w:rsidR="00F96A7C" w:rsidRPr="00F2518D" w:rsidTr="00EC7931">
        <w:tc>
          <w:tcPr>
            <w:tcW w:w="3132" w:type="dxa"/>
          </w:tcPr>
          <w:p w:rsidR="00F96A7C" w:rsidRPr="00F2518D" w:rsidRDefault="00F96A7C" w:rsidP="00EC7931">
            <w:pPr>
              <w:rPr>
                <w:rFonts w:cs="Calibri"/>
              </w:rPr>
            </w:pPr>
            <w:r w:rsidRPr="00F2518D">
              <w:rPr>
                <w:rFonts w:cs="Calibri"/>
              </w:rPr>
              <w:t>Exercises:</w:t>
            </w:r>
          </w:p>
        </w:tc>
        <w:tc>
          <w:tcPr>
            <w:tcW w:w="3132" w:type="dxa"/>
          </w:tcPr>
          <w:p w:rsidR="00F96A7C" w:rsidRPr="00F2518D" w:rsidRDefault="00F96A7C" w:rsidP="00EC7931">
            <w:pPr>
              <w:rPr>
                <w:rFonts w:cs="Calibri"/>
              </w:rPr>
            </w:pPr>
          </w:p>
        </w:tc>
        <w:tc>
          <w:tcPr>
            <w:tcW w:w="3132" w:type="dxa"/>
          </w:tcPr>
          <w:p w:rsidR="00F96A7C" w:rsidRPr="00F2518D" w:rsidRDefault="00F96A7C" w:rsidP="00EC7931">
            <w:pPr>
              <w:rPr>
                <w:rFonts w:cs="Calibri"/>
              </w:rPr>
            </w:pPr>
          </w:p>
        </w:tc>
      </w:tr>
      <w:tr w:rsidR="00F96A7C" w:rsidRPr="00F2518D" w:rsidTr="00EC7931">
        <w:tc>
          <w:tcPr>
            <w:tcW w:w="3132" w:type="dxa"/>
          </w:tcPr>
          <w:p w:rsidR="00F96A7C" w:rsidRPr="00F2518D" w:rsidRDefault="00F96A7C" w:rsidP="00EC7931">
            <w:pPr>
              <w:rPr>
                <w:rFonts w:cs="Calibri"/>
              </w:rPr>
            </w:pPr>
            <w:r w:rsidRPr="00F2518D">
              <w:rPr>
                <w:rFonts w:cs="Calibri"/>
              </w:rPr>
              <w:t>Seminars:</w:t>
            </w:r>
          </w:p>
        </w:tc>
        <w:tc>
          <w:tcPr>
            <w:tcW w:w="3132" w:type="dxa"/>
          </w:tcPr>
          <w:p w:rsidR="00F96A7C" w:rsidRPr="00F2518D" w:rsidRDefault="00F96A7C" w:rsidP="00EC7931">
            <w:pPr>
              <w:rPr>
                <w:rFonts w:cs="Calibri"/>
              </w:rPr>
            </w:pPr>
          </w:p>
        </w:tc>
        <w:tc>
          <w:tcPr>
            <w:tcW w:w="3132" w:type="dxa"/>
          </w:tcPr>
          <w:p w:rsidR="00F96A7C" w:rsidRPr="00F2518D" w:rsidRDefault="00F96A7C" w:rsidP="00EC7931">
            <w:pPr>
              <w:rPr>
                <w:rFonts w:cs="Calibri"/>
              </w:rPr>
            </w:pPr>
          </w:p>
        </w:tc>
      </w:tr>
      <w:tr w:rsidR="00F96A7C" w:rsidRPr="00F2518D" w:rsidTr="00EC7931">
        <w:tc>
          <w:tcPr>
            <w:tcW w:w="9396" w:type="dxa"/>
            <w:gridSpan w:val="3"/>
          </w:tcPr>
          <w:p w:rsidR="00F96A7C" w:rsidRPr="00F2518D" w:rsidRDefault="00F96A7C" w:rsidP="00EC7931">
            <w:pPr>
              <w:rPr>
                <w:rFonts w:cs="Calibri"/>
              </w:rPr>
            </w:pPr>
            <w:r w:rsidRPr="00F2518D">
              <w:rPr>
                <w:rFonts w:cs="Calibri"/>
              </w:rPr>
              <w:lastRenderedPageBreak/>
              <w:t>ECTS: 5</w:t>
            </w: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Teaching language and level</w:t>
            </w:r>
            <w:r w:rsidRPr="00F2518D">
              <w:rPr>
                <w:rStyle w:val="FootnoteReference"/>
                <w:rFonts w:cs="Calibri"/>
              </w:rPr>
              <w:footnoteReference w:id="5"/>
            </w:r>
            <w:r w:rsidRPr="00F2518D">
              <w:rPr>
                <w:rFonts w:cs="Calibri"/>
              </w:rPr>
              <w:t xml:space="preserve">  for guest (exchange) students: English B2</w:t>
            </w:r>
          </w:p>
          <w:p w:rsidR="00F96A7C" w:rsidRPr="00F2518D" w:rsidRDefault="00F96A7C" w:rsidP="00EC7931">
            <w:pPr>
              <w:rPr>
                <w:rFonts w:cs="Calibri"/>
              </w:rPr>
            </w:pP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Teaching Methods</w:t>
            </w:r>
            <w:r w:rsidRPr="00F2518D">
              <w:rPr>
                <w:rStyle w:val="FootnoteReference"/>
                <w:rFonts w:cs="Calibri"/>
              </w:rPr>
              <w:footnoteReference w:id="6"/>
            </w:r>
            <w:r w:rsidRPr="00F2518D">
              <w:rPr>
                <w:rFonts w:cs="Calibri"/>
              </w:rPr>
              <w:t xml:space="preserve"> for guest (exchange) students: L2</w:t>
            </w:r>
          </w:p>
          <w:p w:rsidR="00F96A7C" w:rsidRPr="00F2518D" w:rsidRDefault="00F96A7C" w:rsidP="00EC7931">
            <w:pPr>
              <w:rPr>
                <w:rFonts w:cs="Calibri"/>
              </w:rPr>
            </w:pP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Evaluation Methods</w:t>
            </w:r>
            <w:r w:rsidRPr="00F2518D">
              <w:rPr>
                <w:rStyle w:val="FootnoteReference"/>
                <w:rFonts w:cs="Calibri"/>
              </w:rPr>
              <w:footnoteReference w:id="7"/>
            </w:r>
            <w:r w:rsidRPr="00F2518D">
              <w:rPr>
                <w:rFonts w:cs="Calibri"/>
              </w:rPr>
              <w:t xml:space="preserve"> and Grading</w:t>
            </w:r>
            <w:r w:rsidRPr="00F2518D">
              <w:rPr>
                <w:rStyle w:val="FootnoteReference"/>
                <w:rFonts w:cs="Calibri"/>
              </w:rPr>
              <w:footnoteReference w:id="8"/>
            </w:r>
            <w:r w:rsidRPr="00F2518D">
              <w:rPr>
                <w:rFonts w:cs="Calibri"/>
              </w:rPr>
              <w:t>:</w:t>
            </w:r>
          </w:p>
          <w:p w:rsidR="00F96A7C" w:rsidRPr="00F2518D" w:rsidRDefault="007805B9" w:rsidP="007805B9">
            <w:pPr>
              <w:rPr>
                <w:rFonts w:cs="Calibri"/>
              </w:rPr>
            </w:pPr>
            <w:r w:rsidRPr="00F2518D">
              <w:rPr>
                <w:spacing w:val="-3"/>
              </w:rPr>
              <w:t>5 quizzes during semester (10% each) and final test (50%). Students who are not satisfied with the final grade or do not reach a total of 61% will have a chance to take a make-up test during the regular exam period at the end of the term; Standard</w:t>
            </w: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Learning Outcomes:</w:t>
            </w:r>
          </w:p>
          <w:p w:rsidR="00F96A7C" w:rsidRPr="00F2518D" w:rsidRDefault="002D1010" w:rsidP="002D1010">
            <w:pPr>
              <w:rPr>
                <w:rFonts w:cs="Calibri"/>
              </w:rPr>
            </w:pPr>
            <w:r w:rsidRPr="00F2518D">
              <w:rPr>
                <w:rFonts w:cs="Calibri"/>
              </w:rPr>
              <w:t>Students who successfully complete the course will be familiar with the basic neuroanatomy and neurophysiology, neural bases of various levels and aspects of normal and disordered speech and language functions, relationship between language and learning and memory, and research methods in neurolinguistics.</w:t>
            </w:r>
          </w:p>
          <w:p w:rsidR="00F96A7C" w:rsidRPr="00F2518D" w:rsidRDefault="00F96A7C" w:rsidP="00EC7931">
            <w:pPr>
              <w:rPr>
                <w:rFonts w:cs="Calibri"/>
              </w:rPr>
            </w:pPr>
          </w:p>
        </w:tc>
      </w:tr>
      <w:tr w:rsidR="00F96A7C" w:rsidRPr="00F2518D" w:rsidTr="00EC7931">
        <w:tc>
          <w:tcPr>
            <w:tcW w:w="9396" w:type="dxa"/>
            <w:gridSpan w:val="3"/>
          </w:tcPr>
          <w:p w:rsidR="00F96A7C" w:rsidRPr="00F2518D" w:rsidRDefault="00F96A7C" w:rsidP="00EC7931">
            <w:pPr>
              <w:rPr>
                <w:rFonts w:cs="Calibri"/>
              </w:rPr>
            </w:pPr>
            <w:r w:rsidRPr="00F2518D">
              <w:rPr>
                <w:rFonts w:cs="Calibri"/>
              </w:rPr>
              <w:t>Literature:</w:t>
            </w:r>
          </w:p>
          <w:p w:rsidR="007805B9" w:rsidRPr="00F2518D" w:rsidRDefault="007805B9" w:rsidP="007805B9">
            <w:pPr>
              <w:numPr>
                <w:ilvl w:val="0"/>
                <w:numId w:val="1"/>
              </w:numPr>
              <w:spacing w:before="100" w:beforeAutospacing="1" w:after="100" w:afterAutospacing="1"/>
              <w:rPr>
                <w:rFonts w:eastAsia="Times New Roman" w:cs="Times New Roman"/>
                <w:lang w:eastAsia="hr-HR"/>
              </w:rPr>
            </w:pPr>
            <w:r w:rsidRPr="00F2518D">
              <w:rPr>
                <w:rFonts w:eastAsia="Times New Roman" w:cs="Times New Roman"/>
                <w:lang w:eastAsia="hr-HR"/>
              </w:rPr>
              <w:t>Mildner, V. (2007). The Cognitive Neuroscience of Human Communication. LEA (Psychology Press).</w:t>
            </w:r>
          </w:p>
          <w:p w:rsidR="007805B9" w:rsidRPr="00F2518D" w:rsidRDefault="007805B9" w:rsidP="007805B9">
            <w:pPr>
              <w:numPr>
                <w:ilvl w:val="0"/>
                <w:numId w:val="1"/>
              </w:numPr>
              <w:spacing w:before="100" w:beforeAutospacing="1" w:after="100" w:afterAutospacing="1"/>
              <w:rPr>
                <w:rFonts w:eastAsia="Times New Roman" w:cs="Times New Roman"/>
                <w:lang w:eastAsia="hr-HR"/>
              </w:rPr>
            </w:pPr>
            <w:r w:rsidRPr="00F2518D">
              <w:rPr>
                <w:rFonts w:eastAsia="Times New Roman" w:cs="Times New Roman"/>
                <w:lang w:eastAsia="hr-HR"/>
              </w:rPr>
              <w:t>Pinel, J. P. J. (2008). Biopsychology. Pearson Higher Education, 7th Edition.</w:t>
            </w:r>
          </w:p>
          <w:p w:rsidR="00F96A7C" w:rsidRPr="00F2518D" w:rsidRDefault="007805B9" w:rsidP="007805B9">
            <w:pPr>
              <w:numPr>
                <w:ilvl w:val="0"/>
                <w:numId w:val="1"/>
              </w:numPr>
              <w:spacing w:before="100" w:beforeAutospacing="1" w:after="100" w:afterAutospacing="1"/>
              <w:rPr>
                <w:rFonts w:eastAsia="Times New Roman" w:cs="Times New Roman"/>
                <w:lang w:eastAsia="hr-HR"/>
              </w:rPr>
            </w:pPr>
            <w:r w:rsidRPr="00F2518D">
              <w:rPr>
                <w:rFonts w:eastAsia="Times New Roman" w:cs="Times New Roman"/>
                <w:lang w:eastAsia="hr-HR"/>
              </w:rPr>
              <w:t>Purves, D., Augustine, G.J., Fitzpatrick, D., Hall, W. C., LaMantia, A-S., McNamara, J. O., ad White, L. E. (Eds).(2008). Neuroscience (4th Edition). Sinauer Associates.</w:t>
            </w:r>
          </w:p>
        </w:tc>
      </w:tr>
    </w:tbl>
    <w:p w:rsidR="00F96A7C" w:rsidRPr="003E03D6" w:rsidRDefault="00F96A7C" w:rsidP="003E03D6">
      <w:pPr>
        <w:jc w:val="center"/>
        <w:rPr>
          <w:b/>
          <w:color w:val="0070C0"/>
          <w:sz w:val="36"/>
          <w:szCs w:val="36"/>
        </w:rPr>
      </w:pP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54" w:rsidRDefault="007D7254" w:rsidP="00714366">
      <w:pPr>
        <w:spacing w:after="0" w:line="240" w:lineRule="auto"/>
      </w:pPr>
      <w:r>
        <w:separator/>
      </w:r>
    </w:p>
  </w:endnote>
  <w:endnote w:type="continuationSeparator" w:id="0">
    <w:p w:rsidR="007D7254" w:rsidRDefault="007D725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54" w:rsidRDefault="007D7254" w:rsidP="00714366">
      <w:pPr>
        <w:spacing w:after="0" w:line="240" w:lineRule="auto"/>
      </w:pPr>
      <w:r>
        <w:separator/>
      </w:r>
    </w:p>
  </w:footnote>
  <w:footnote w:type="continuationSeparator" w:id="0">
    <w:p w:rsidR="007D7254" w:rsidRDefault="007D7254" w:rsidP="00714366">
      <w:pPr>
        <w:spacing w:after="0" w:line="240" w:lineRule="auto"/>
      </w:pPr>
      <w:r>
        <w:continuationSeparator/>
      </w:r>
    </w:p>
  </w:footnote>
  <w:footnote w:id="1">
    <w:p w:rsidR="00F96A7C" w:rsidRPr="00D12733" w:rsidRDefault="00F96A7C" w:rsidP="00F96A7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F96A7C" w:rsidRPr="00D12733" w:rsidRDefault="00F96A7C" w:rsidP="00F96A7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F96A7C" w:rsidRPr="00C64195" w:rsidRDefault="00F96A7C" w:rsidP="00F96A7C">
      <w:pPr>
        <w:pStyle w:val="FootnoteText"/>
        <w:jc w:val="both"/>
        <w:rPr>
          <w:lang w:val="hr-HR"/>
        </w:rPr>
      </w:pPr>
      <w:r>
        <w:rPr>
          <w:rStyle w:val="FootnoteReference"/>
        </w:rPr>
        <w:footnoteRef/>
      </w:r>
      <w:r>
        <w:t xml:space="preserve"> Teaching language according to the regular programme (e.g. Croatian, French, Slovenian…)</w:t>
      </w:r>
    </w:p>
  </w:footnote>
  <w:footnote w:id="4">
    <w:p w:rsidR="00F96A7C" w:rsidRPr="00D12733" w:rsidRDefault="00F96A7C" w:rsidP="00F96A7C">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F96A7C" w:rsidRPr="00D12733" w:rsidRDefault="00F96A7C" w:rsidP="00F96A7C">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F96A7C" w:rsidRDefault="00F96A7C" w:rsidP="00F96A7C">
      <w:pPr>
        <w:pStyle w:val="FootnoteText"/>
        <w:jc w:val="both"/>
      </w:pPr>
      <w:r w:rsidRPr="00D12733">
        <w:rPr>
          <w:rStyle w:val="FootnoteReference"/>
        </w:rPr>
        <w:footnoteRef/>
      </w:r>
      <w:r>
        <w:t xml:space="preserve"> </w:t>
      </w:r>
      <w:r w:rsidRPr="00D933EA">
        <w:rPr>
          <w:b/>
        </w:rPr>
        <w:t>Language options for guest (exchange) students):</w:t>
      </w:r>
    </w:p>
    <w:p w:rsidR="00F96A7C" w:rsidRPr="00D12733" w:rsidRDefault="00F96A7C" w:rsidP="00F96A7C">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F96A7C" w:rsidRPr="00D12733" w:rsidRDefault="00F96A7C" w:rsidP="00F96A7C">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F96A7C" w:rsidRPr="00D12733" w:rsidRDefault="00F96A7C" w:rsidP="00F96A7C">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F96A7C" w:rsidRPr="00D12733" w:rsidRDefault="00F96A7C" w:rsidP="00F96A7C">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F96A7C" w:rsidRPr="00D12733" w:rsidRDefault="00F96A7C" w:rsidP="00F96A7C">
      <w:pPr>
        <w:spacing w:after="0" w:line="240" w:lineRule="auto"/>
        <w:jc w:val="both"/>
        <w:rPr>
          <w:sz w:val="20"/>
          <w:szCs w:val="20"/>
        </w:rPr>
      </w:pPr>
      <w:r w:rsidRPr="00D12733">
        <w:rPr>
          <w:sz w:val="20"/>
          <w:szCs w:val="20"/>
        </w:rPr>
        <w:t xml:space="preserve">Additional: </w:t>
      </w:r>
    </w:p>
    <w:p w:rsidR="00F96A7C" w:rsidRPr="00D12733" w:rsidRDefault="00F96A7C" w:rsidP="00F96A7C">
      <w:pPr>
        <w:spacing w:after="0" w:line="240" w:lineRule="auto"/>
        <w:jc w:val="both"/>
        <w:rPr>
          <w:sz w:val="20"/>
          <w:szCs w:val="20"/>
        </w:rPr>
      </w:pPr>
      <w:r w:rsidRPr="00D12733">
        <w:rPr>
          <w:sz w:val="20"/>
          <w:szCs w:val="20"/>
        </w:rPr>
        <w:t>RA - Regular Attendance (No ECTS credits awarded for course attendance only)</w:t>
      </w:r>
    </w:p>
    <w:p w:rsidR="00F96A7C" w:rsidRPr="00D12733" w:rsidRDefault="00F96A7C" w:rsidP="00F96A7C">
      <w:pPr>
        <w:spacing w:after="0" w:line="240" w:lineRule="auto"/>
        <w:jc w:val="both"/>
        <w:rPr>
          <w:sz w:val="20"/>
          <w:szCs w:val="20"/>
        </w:rPr>
      </w:pPr>
      <w:r w:rsidRPr="00D12733">
        <w:rPr>
          <w:sz w:val="20"/>
          <w:szCs w:val="20"/>
        </w:rPr>
        <w:t>C - Completed (Student has completed proscribed obligations/no ECTS credits awarded)</w:t>
      </w:r>
    </w:p>
    <w:p w:rsidR="00F96A7C" w:rsidRPr="00D12733" w:rsidRDefault="00F96A7C" w:rsidP="00F96A7C">
      <w:pPr>
        <w:spacing w:after="0" w:line="240" w:lineRule="auto"/>
        <w:jc w:val="both"/>
        <w:rPr>
          <w:sz w:val="20"/>
          <w:szCs w:val="20"/>
        </w:rPr>
      </w:pPr>
      <w:r w:rsidRPr="00D12733">
        <w:rPr>
          <w:sz w:val="20"/>
          <w:szCs w:val="20"/>
        </w:rPr>
        <w:t>C+ – Completed + ECTS (Student has completed proscribed obligations + ECTS credits awarded)</w:t>
      </w:r>
    </w:p>
    <w:p w:rsidR="00F96A7C" w:rsidRPr="00D12733" w:rsidRDefault="00F96A7C" w:rsidP="00F96A7C">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15C"/>
    <w:multiLevelType w:val="hybridMultilevel"/>
    <w:tmpl w:val="71E250DC"/>
    <w:lvl w:ilvl="0" w:tplc="8CC6FE0A">
      <w:start w:val="1"/>
      <w:numFmt w:val="bullet"/>
      <w:lvlText w:val="•"/>
      <w:lvlJc w:val="left"/>
      <w:pPr>
        <w:tabs>
          <w:tab w:val="num" w:pos="360"/>
        </w:tabs>
        <w:ind w:left="360" w:hanging="360"/>
      </w:pPr>
      <w:rPr>
        <w:rFonts w:ascii="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DA65EE"/>
    <w:multiLevelType w:val="multilevel"/>
    <w:tmpl w:val="5CC43E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8DB449C"/>
    <w:multiLevelType w:val="hybridMultilevel"/>
    <w:tmpl w:val="A590FEEC"/>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9DC39B8"/>
    <w:multiLevelType w:val="hybridMultilevel"/>
    <w:tmpl w:val="89C614E2"/>
    <w:lvl w:ilvl="0" w:tplc="7BA050D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4C437C"/>
    <w:multiLevelType w:val="multilevel"/>
    <w:tmpl w:val="52BE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3080A"/>
    <w:multiLevelType w:val="hybridMultilevel"/>
    <w:tmpl w:val="4C942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13C62"/>
    <w:rsid w:val="00034999"/>
    <w:rsid w:val="0007245F"/>
    <w:rsid w:val="00120BC5"/>
    <w:rsid w:val="00195BAC"/>
    <w:rsid w:val="00230887"/>
    <w:rsid w:val="00297469"/>
    <w:rsid w:val="002C1835"/>
    <w:rsid w:val="002D1010"/>
    <w:rsid w:val="003804F7"/>
    <w:rsid w:val="00381EEA"/>
    <w:rsid w:val="003B1E7C"/>
    <w:rsid w:val="003E03D6"/>
    <w:rsid w:val="00465279"/>
    <w:rsid w:val="00525147"/>
    <w:rsid w:val="00535C76"/>
    <w:rsid w:val="005453B9"/>
    <w:rsid w:val="005D7B91"/>
    <w:rsid w:val="005F1F04"/>
    <w:rsid w:val="0062222F"/>
    <w:rsid w:val="00662550"/>
    <w:rsid w:val="00675172"/>
    <w:rsid w:val="00714366"/>
    <w:rsid w:val="007254DF"/>
    <w:rsid w:val="007805B9"/>
    <w:rsid w:val="007D7254"/>
    <w:rsid w:val="007E09CB"/>
    <w:rsid w:val="009047B0"/>
    <w:rsid w:val="0092582F"/>
    <w:rsid w:val="00966206"/>
    <w:rsid w:val="00966E70"/>
    <w:rsid w:val="009C6004"/>
    <w:rsid w:val="00A01504"/>
    <w:rsid w:val="00AB04BF"/>
    <w:rsid w:val="00AC000C"/>
    <w:rsid w:val="00AD64A3"/>
    <w:rsid w:val="00BC2B7F"/>
    <w:rsid w:val="00BE2D88"/>
    <w:rsid w:val="00C122B0"/>
    <w:rsid w:val="00C57A75"/>
    <w:rsid w:val="00C64195"/>
    <w:rsid w:val="00C74E5B"/>
    <w:rsid w:val="00C9499B"/>
    <w:rsid w:val="00CD030E"/>
    <w:rsid w:val="00D06704"/>
    <w:rsid w:val="00D12733"/>
    <w:rsid w:val="00D73C5C"/>
    <w:rsid w:val="00D933EA"/>
    <w:rsid w:val="00DF5C57"/>
    <w:rsid w:val="00E203E8"/>
    <w:rsid w:val="00E471DE"/>
    <w:rsid w:val="00E82CAF"/>
    <w:rsid w:val="00EB06F6"/>
    <w:rsid w:val="00EB59AF"/>
    <w:rsid w:val="00EF3067"/>
    <w:rsid w:val="00F117E5"/>
    <w:rsid w:val="00F24889"/>
    <w:rsid w:val="00F2518D"/>
    <w:rsid w:val="00F929BB"/>
    <w:rsid w:val="00F96A7C"/>
    <w:rsid w:val="00F9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C74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0371">
      <w:bodyDiv w:val="1"/>
      <w:marLeft w:val="0"/>
      <w:marRight w:val="0"/>
      <w:marTop w:val="0"/>
      <w:marBottom w:val="0"/>
      <w:divBdr>
        <w:top w:val="none" w:sz="0" w:space="0" w:color="auto"/>
        <w:left w:val="none" w:sz="0" w:space="0" w:color="auto"/>
        <w:bottom w:val="none" w:sz="0" w:space="0" w:color="auto"/>
        <w:right w:val="none" w:sz="0" w:space="0" w:color="auto"/>
      </w:divBdr>
    </w:div>
    <w:div w:id="690452657">
      <w:bodyDiv w:val="1"/>
      <w:marLeft w:val="0"/>
      <w:marRight w:val="0"/>
      <w:marTop w:val="0"/>
      <w:marBottom w:val="0"/>
      <w:divBdr>
        <w:top w:val="none" w:sz="0" w:space="0" w:color="auto"/>
        <w:left w:val="none" w:sz="0" w:space="0" w:color="auto"/>
        <w:bottom w:val="none" w:sz="0" w:space="0" w:color="auto"/>
        <w:right w:val="none" w:sz="0" w:space="0" w:color="auto"/>
      </w:divBdr>
    </w:div>
    <w:div w:id="802962313">
      <w:bodyDiv w:val="1"/>
      <w:marLeft w:val="0"/>
      <w:marRight w:val="0"/>
      <w:marTop w:val="0"/>
      <w:marBottom w:val="0"/>
      <w:divBdr>
        <w:top w:val="none" w:sz="0" w:space="0" w:color="auto"/>
        <w:left w:val="none" w:sz="0" w:space="0" w:color="auto"/>
        <w:bottom w:val="none" w:sz="0" w:space="0" w:color="auto"/>
        <w:right w:val="none" w:sz="0" w:space="0" w:color="auto"/>
      </w:divBdr>
    </w:div>
    <w:div w:id="869100799">
      <w:bodyDiv w:val="1"/>
      <w:marLeft w:val="0"/>
      <w:marRight w:val="0"/>
      <w:marTop w:val="0"/>
      <w:marBottom w:val="0"/>
      <w:divBdr>
        <w:top w:val="none" w:sz="0" w:space="0" w:color="auto"/>
        <w:left w:val="none" w:sz="0" w:space="0" w:color="auto"/>
        <w:bottom w:val="none" w:sz="0" w:space="0" w:color="auto"/>
        <w:right w:val="none" w:sz="0" w:space="0" w:color="auto"/>
      </w:divBdr>
      <w:divsChild>
        <w:div w:id="1997107349">
          <w:marLeft w:val="0"/>
          <w:marRight w:val="0"/>
          <w:marTop w:val="0"/>
          <w:marBottom w:val="0"/>
          <w:divBdr>
            <w:top w:val="none" w:sz="0" w:space="0" w:color="auto"/>
            <w:left w:val="none" w:sz="0" w:space="0" w:color="auto"/>
            <w:bottom w:val="none" w:sz="0" w:space="0" w:color="auto"/>
            <w:right w:val="none" w:sz="0" w:space="0" w:color="auto"/>
          </w:divBdr>
        </w:div>
      </w:divsChild>
    </w:div>
    <w:div w:id="1167668387">
      <w:bodyDiv w:val="1"/>
      <w:marLeft w:val="0"/>
      <w:marRight w:val="0"/>
      <w:marTop w:val="0"/>
      <w:marBottom w:val="0"/>
      <w:divBdr>
        <w:top w:val="none" w:sz="0" w:space="0" w:color="auto"/>
        <w:left w:val="none" w:sz="0" w:space="0" w:color="auto"/>
        <w:bottom w:val="none" w:sz="0" w:space="0" w:color="auto"/>
        <w:right w:val="none" w:sz="0" w:space="0" w:color="auto"/>
      </w:divBdr>
    </w:div>
    <w:div w:id="1284262629">
      <w:bodyDiv w:val="1"/>
      <w:marLeft w:val="0"/>
      <w:marRight w:val="0"/>
      <w:marTop w:val="0"/>
      <w:marBottom w:val="0"/>
      <w:divBdr>
        <w:top w:val="none" w:sz="0" w:space="0" w:color="auto"/>
        <w:left w:val="none" w:sz="0" w:space="0" w:color="auto"/>
        <w:bottom w:val="none" w:sz="0" w:space="0" w:color="auto"/>
        <w:right w:val="none" w:sz="0" w:space="0" w:color="auto"/>
      </w:divBdr>
      <w:divsChild>
        <w:div w:id="207238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C7AF-D37B-4EA7-8FFD-DBF68097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Arnalda</cp:lastModifiedBy>
  <cp:revision>2</cp:revision>
  <cp:lastPrinted>2019-02-18T13:08:00Z</cp:lastPrinted>
  <dcterms:created xsi:type="dcterms:W3CDTF">2019-03-01T12:20:00Z</dcterms:created>
  <dcterms:modified xsi:type="dcterms:W3CDTF">2019-03-01T12:20:00Z</dcterms:modified>
</cp:coreProperties>
</file>