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2928FF" w:rsidRPr="002928FF">
              <w:rPr>
                <w:rFonts w:ascii="Calibri" w:hAnsi="Calibri" w:cs="Calibri"/>
                <w:b/>
              </w:rPr>
              <w:t>COMPARATIVE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EE50A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A734C1">
              <w:rPr>
                <w:rFonts w:ascii="Calibri" w:hAnsi="Calibri" w:cs="Calibri"/>
                <w:color w:val="FF0000"/>
              </w:rPr>
              <w:t>BA, 2</w:t>
            </w:r>
            <w:r w:rsidR="00A734C1" w:rsidRPr="00A734C1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A734C1">
              <w:rPr>
                <w:rFonts w:ascii="Calibri" w:hAnsi="Calibri" w:cs="Calibri"/>
                <w:color w:val="FF0000"/>
              </w:rPr>
              <w:t xml:space="preserve"> and 3</w:t>
            </w:r>
            <w:r w:rsidR="00A734C1" w:rsidRPr="00A734C1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A734C1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EE50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A734C1">
              <w:t xml:space="preserve"> </w:t>
            </w:r>
            <w:r w:rsidR="00A734C1" w:rsidRPr="00776CFB">
              <w:rPr>
                <w:rFonts w:ascii="Calibri" w:hAnsi="Calibri" w:cs="Calibri"/>
                <w:b/>
              </w:rPr>
              <w:t>History of literature: Orality, literacy, and literature</w:t>
            </w:r>
          </w:p>
          <w:p w:rsidR="00776CFB" w:rsidRPr="00714366" w:rsidRDefault="00776CFB" w:rsidP="00EE50A5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776CFB">
              <w:rPr>
                <w:rFonts w:ascii="Calibri" w:hAnsi="Calibri" w:cs="Calibri"/>
              </w:rPr>
              <w:t>I</w:t>
            </w:r>
            <w:r w:rsidR="00A734C1">
              <w:rPr>
                <w:rFonts w:ascii="Calibri" w:hAnsi="Calibri" w:cs="Calibri"/>
              </w:rPr>
              <w:t xml:space="preserve">ntroduction to the study of relations between orality and literacy that offers the possibility of questioning the traditional concepts of literature, originality, and authorship.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  <w:color w:val="FF0000"/>
              </w:rPr>
              <w:t>Summer semester,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A734C1">
              <w:rPr>
                <w:rFonts w:ascii="Calibri" w:hAnsi="Calibri" w:cs="Calibri"/>
              </w:rPr>
              <w:t xml:space="preserve"> David </w:t>
            </w:r>
            <w:proofErr w:type="spellStart"/>
            <w:r w:rsidR="00A734C1">
              <w:rPr>
                <w:rFonts w:ascii="Calibri" w:hAnsi="Calibri" w:cs="Calibri"/>
              </w:rPr>
              <w:t>Šporer</w:t>
            </w:r>
            <w:proofErr w:type="spellEnd"/>
            <w:r w:rsidR="00A734C1">
              <w:rPr>
                <w:rFonts w:ascii="Calibri" w:hAnsi="Calibri" w:cs="Calibri"/>
              </w:rPr>
              <w:t xml:space="preserve">, </w:t>
            </w:r>
            <w:r w:rsidR="00A72537" w:rsidRPr="00A72537">
              <w:rPr>
                <w:rFonts w:ascii="Calibri" w:hAnsi="Calibri" w:cs="Calibri"/>
              </w:rPr>
              <w:t>PhD, associate professor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Referencafusnot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Referencafusnote"/>
                <w:rFonts w:ascii="Calibri" w:hAnsi="Calibri" w:cs="Calibri"/>
              </w:rPr>
              <w:footnoteReference w:id="4"/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Teaching through lectures and seminars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A3076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Referencafusnot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Referencafusnot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Essay,  Oral Exam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A734C1">
              <w:rPr>
                <w:rFonts w:ascii="Calibri" w:hAnsi="Calibri" w:cs="Calibri"/>
              </w:rPr>
              <w:t xml:space="preserve">  Student will be able to define the key concepts of literary theory, with </w:t>
            </w:r>
            <w:r w:rsidR="000231DF">
              <w:rPr>
                <w:rFonts w:ascii="Calibri" w:hAnsi="Calibri" w:cs="Calibri"/>
              </w:rPr>
              <w:t xml:space="preserve">focus on theory of orality and literacy; </w:t>
            </w:r>
            <w:r w:rsidR="000231DF">
              <w:t xml:space="preserve"> student will be able to </w:t>
            </w:r>
            <w:r w:rsidR="000231DF" w:rsidRPr="000231DF">
              <w:rPr>
                <w:rFonts w:ascii="Calibri" w:hAnsi="Calibri" w:cs="Calibri"/>
              </w:rPr>
              <w:t>list the periods of world literature history, describe their main fea</w:t>
            </w:r>
            <w:r w:rsidR="000231DF">
              <w:rPr>
                <w:rFonts w:ascii="Calibri" w:hAnsi="Calibri" w:cs="Calibri"/>
              </w:rPr>
              <w:t>tures, state the representative authors</w:t>
            </w:r>
            <w:r w:rsidR="000231DF" w:rsidRPr="000231DF">
              <w:rPr>
                <w:rFonts w:ascii="Calibri" w:hAnsi="Calibri" w:cs="Calibri"/>
              </w:rPr>
              <w:t xml:space="preserve"> and their key works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E27560" w:rsidRDefault="00E27560"/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27560" w:rsidRPr="00714366" w:rsidTr="00A01D40">
        <w:tc>
          <w:tcPr>
            <w:tcW w:w="9396" w:type="dxa"/>
          </w:tcPr>
          <w:p w:rsidR="00E27560" w:rsidRDefault="00E27560" w:rsidP="00A01D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27560" w:rsidRDefault="00E27560" w:rsidP="00A01D40">
            <w:pPr>
              <w:rPr>
                <w:rFonts w:ascii="Calibri" w:hAnsi="Calibri" w:cs="Calibri"/>
              </w:rPr>
            </w:pPr>
            <w:r w:rsidRPr="000231DF">
              <w:rPr>
                <w:rFonts w:ascii="Calibri" w:hAnsi="Calibri" w:cs="Calibri"/>
              </w:rPr>
              <w:t>Albert B. Lord, The Singer of Tales</w:t>
            </w:r>
          </w:p>
          <w:p w:rsidR="00E27560" w:rsidRDefault="00E27560" w:rsidP="00A01D40">
            <w:pPr>
              <w:rPr>
                <w:rFonts w:ascii="Calibri" w:hAnsi="Calibri" w:cs="Calibri"/>
              </w:rPr>
            </w:pPr>
          </w:p>
          <w:p w:rsidR="00E27560" w:rsidRDefault="00E27560" w:rsidP="00A01D40">
            <w:pPr>
              <w:rPr>
                <w:rFonts w:ascii="Calibri" w:hAnsi="Calibri" w:cs="Calibri"/>
              </w:rPr>
            </w:pPr>
            <w:r w:rsidRPr="000231DF">
              <w:rPr>
                <w:rFonts w:ascii="Calibri" w:hAnsi="Calibri" w:cs="Calibri"/>
              </w:rPr>
              <w:t>Walter J. Ong, Orality and Literacy</w:t>
            </w:r>
          </w:p>
          <w:p w:rsidR="00E27560" w:rsidRDefault="00E27560" w:rsidP="00A01D40">
            <w:pPr>
              <w:rPr>
                <w:rFonts w:ascii="Calibri" w:hAnsi="Calibri" w:cs="Calibri"/>
              </w:rPr>
            </w:pPr>
          </w:p>
          <w:p w:rsidR="00E27560" w:rsidRDefault="00E27560" w:rsidP="00A01D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Eric A. Havelock: </w:t>
            </w:r>
            <w:r w:rsidRPr="000231DF">
              <w:rPr>
                <w:rFonts w:ascii="Calibri" w:hAnsi="Calibri" w:cs="Calibri"/>
              </w:rPr>
              <w:t>The Muse Learns to Write: Reflections on Orality and Literacy from Antiquity to the Present</w:t>
            </w:r>
          </w:p>
          <w:p w:rsidR="00E27560" w:rsidRDefault="00E27560" w:rsidP="00A01D40">
            <w:pPr>
              <w:rPr>
                <w:rFonts w:ascii="Calibri" w:hAnsi="Calibri" w:cs="Calibri"/>
              </w:rPr>
            </w:pPr>
          </w:p>
          <w:p w:rsidR="00E27560" w:rsidRDefault="00E27560" w:rsidP="00A01D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Goody and</w:t>
            </w:r>
            <w:r w:rsidRPr="000231DF">
              <w:rPr>
                <w:rFonts w:ascii="Calibri" w:hAnsi="Calibri" w:cs="Calibri"/>
              </w:rPr>
              <w:t xml:space="preserve"> Ian Watt, „The Consequences of Literacy“, Comparative Stu</w:t>
            </w:r>
            <w:r>
              <w:rPr>
                <w:rFonts w:ascii="Calibri" w:hAnsi="Calibri" w:cs="Calibri"/>
              </w:rPr>
              <w:t>dies in Society and History, no</w:t>
            </w:r>
            <w:r w:rsidRPr="000231DF">
              <w:rPr>
                <w:rFonts w:ascii="Calibri" w:hAnsi="Calibri" w:cs="Calibri"/>
              </w:rPr>
              <w:t xml:space="preserve"> 3, 1963</w:t>
            </w:r>
          </w:p>
          <w:p w:rsidR="00E27560" w:rsidRDefault="00E27560" w:rsidP="00A01D40">
            <w:pPr>
              <w:rPr>
                <w:rFonts w:ascii="Calibri" w:hAnsi="Calibri" w:cs="Calibri"/>
              </w:rPr>
            </w:pPr>
          </w:p>
          <w:p w:rsidR="00E27560" w:rsidRDefault="00E27560" w:rsidP="00A01D40">
            <w:pPr>
              <w:rPr>
                <w:rFonts w:ascii="Calibri" w:hAnsi="Calibri" w:cs="Calibri"/>
              </w:rPr>
            </w:pPr>
            <w:r w:rsidRPr="000231DF">
              <w:rPr>
                <w:rFonts w:ascii="Calibri" w:hAnsi="Calibri" w:cs="Calibri"/>
              </w:rPr>
              <w:t>Michelle O'Callaghan, „Publi</w:t>
            </w:r>
            <w:r>
              <w:rPr>
                <w:rFonts w:ascii="Calibri" w:hAnsi="Calibri" w:cs="Calibri"/>
              </w:rPr>
              <w:t>cation: Print and Manuscript“, in</w:t>
            </w:r>
            <w:r w:rsidRPr="000231DF">
              <w:rPr>
                <w:rFonts w:ascii="Calibri" w:hAnsi="Calibri" w:cs="Calibri"/>
              </w:rPr>
              <w:t>: A Companion to English Renaissance Literature and Culture</w:t>
            </w:r>
            <w:r>
              <w:rPr>
                <w:rFonts w:ascii="Calibri" w:hAnsi="Calibri" w:cs="Calibri"/>
              </w:rPr>
              <w:t xml:space="preserve">, ed. </w:t>
            </w:r>
            <w:r>
              <w:t xml:space="preserve"> </w:t>
            </w:r>
            <w:r w:rsidRPr="000231DF">
              <w:rPr>
                <w:rFonts w:ascii="Calibri" w:hAnsi="Calibri" w:cs="Calibri"/>
              </w:rPr>
              <w:t xml:space="preserve">Michael </w:t>
            </w:r>
            <w:proofErr w:type="spellStart"/>
            <w:r w:rsidRPr="000231DF">
              <w:rPr>
                <w:rFonts w:ascii="Calibri" w:hAnsi="Calibri" w:cs="Calibri"/>
              </w:rPr>
              <w:t>Hattaway</w:t>
            </w:r>
            <w:proofErr w:type="spellEnd"/>
          </w:p>
          <w:p w:rsidR="00E27560" w:rsidRDefault="00E27560" w:rsidP="00A01D40">
            <w:pPr>
              <w:rPr>
                <w:rFonts w:ascii="Calibri" w:hAnsi="Calibri" w:cs="Calibri"/>
              </w:rPr>
            </w:pPr>
          </w:p>
          <w:p w:rsidR="00E27560" w:rsidRPr="00714366" w:rsidRDefault="00E27560" w:rsidP="00A01D40">
            <w:pPr>
              <w:rPr>
                <w:rFonts w:ascii="Calibri" w:hAnsi="Calibri" w:cs="Calibri"/>
              </w:rPr>
            </w:pPr>
            <w:r w:rsidRPr="000231DF">
              <w:rPr>
                <w:rFonts w:ascii="Calibri" w:hAnsi="Calibri" w:cs="Calibri"/>
              </w:rPr>
              <w:t xml:space="preserve">Robert </w:t>
            </w:r>
            <w:proofErr w:type="spellStart"/>
            <w:r w:rsidRPr="000231DF">
              <w:rPr>
                <w:rFonts w:ascii="Calibri" w:hAnsi="Calibri" w:cs="Calibri"/>
              </w:rPr>
              <w:t>Darnton</w:t>
            </w:r>
            <w:proofErr w:type="spellEnd"/>
            <w:r w:rsidRPr="000231DF">
              <w:rPr>
                <w:rFonts w:ascii="Calibri" w:hAnsi="Calibri" w:cs="Calibri"/>
              </w:rPr>
              <w:t>, „First Steps</w:t>
            </w:r>
            <w:r>
              <w:rPr>
                <w:rFonts w:ascii="Calibri" w:hAnsi="Calibri" w:cs="Calibri"/>
              </w:rPr>
              <w:t xml:space="preserve"> Toward a History of Reading“, in</w:t>
            </w:r>
            <w:r w:rsidRPr="000231DF">
              <w:rPr>
                <w:rFonts w:ascii="Calibri" w:hAnsi="Calibri" w:cs="Calibri"/>
              </w:rPr>
              <w:t xml:space="preserve">: Robert </w:t>
            </w:r>
            <w:proofErr w:type="spellStart"/>
            <w:r w:rsidRPr="000231DF">
              <w:rPr>
                <w:rFonts w:ascii="Calibri" w:hAnsi="Calibri" w:cs="Calibri"/>
              </w:rPr>
              <w:t>Darnton</w:t>
            </w:r>
            <w:proofErr w:type="spellEnd"/>
            <w:r w:rsidRPr="000231DF">
              <w:rPr>
                <w:rFonts w:ascii="Calibri" w:hAnsi="Calibri" w:cs="Calibri"/>
              </w:rPr>
              <w:t xml:space="preserve">, The Kiss of </w:t>
            </w:r>
            <w:proofErr w:type="spellStart"/>
            <w:r w:rsidRPr="000231DF">
              <w:rPr>
                <w:rFonts w:ascii="Calibri" w:hAnsi="Calibri" w:cs="Calibri"/>
              </w:rPr>
              <w:t>Lamourette</w:t>
            </w:r>
            <w:proofErr w:type="spellEnd"/>
            <w:r w:rsidRPr="000231DF">
              <w:rPr>
                <w:rFonts w:ascii="Calibri" w:hAnsi="Calibri" w:cs="Calibri"/>
              </w:rPr>
              <w:t>. Reflections in Cultural History</w:t>
            </w:r>
          </w:p>
        </w:tc>
      </w:tr>
    </w:tbl>
    <w:p w:rsidR="00A734C1" w:rsidRDefault="00A734C1" w:rsidP="00714366">
      <w:bookmarkStart w:id="0" w:name="_GoBack"/>
      <w:bookmarkEnd w:id="0"/>
    </w:p>
    <w:sectPr w:rsidR="00A734C1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49" w:rsidRDefault="00977F49" w:rsidP="00714366">
      <w:pPr>
        <w:spacing w:after="0" w:line="240" w:lineRule="auto"/>
      </w:pPr>
      <w:r>
        <w:separator/>
      </w:r>
    </w:p>
  </w:endnote>
  <w:endnote w:type="continuationSeparator" w:id="0">
    <w:p w:rsidR="00977F49" w:rsidRDefault="00977F4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49" w:rsidRDefault="00977F49" w:rsidP="00714366">
      <w:pPr>
        <w:spacing w:after="0" w:line="240" w:lineRule="auto"/>
      </w:pPr>
      <w:r>
        <w:separator/>
      </w:r>
    </w:p>
  </w:footnote>
  <w:footnote w:type="continuationSeparator" w:id="0">
    <w:p w:rsidR="00977F49" w:rsidRDefault="00977F49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31DF"/>
    <w:rsid w:val="00034999"/>
    <w:rsid w:val="0007245F"/>
    <w:rsid w:val="00120BC5"/>
    <w:rsid w:val="00195BAC"/>
    <w:rsid w:val="00230887"/>
    <w:rsid w:val="002928FF"/>
    <w:rsid w:val="00297469"/>
    <w:rsid w:val="003720BD"/>
    <w:rsid w:val="003804F7"/>
    <w:rsid w:val="00381EEA"/>
    <w:rsid w:val="003B1E7C"/>
    <w:rsid w:val="003D1BC2"/>
    <w:rsid w:val="003E03D6"/>
    <w:rsid w:val="00465279"/>
    <w:rsid w:val="00525147"/>
    <w:rsid w:val="005D7B91"/>
    <w:rsid w:val="0062222F"/>
    <w:rsid w:val="00662550"/>
    <w:rsid w:val="00675172"/>
    <w:rsid w:val="006D7101"/>
    <w:rsid w:val="00713B0A"/>
    <w:rsid w:val="00714366"/>
    <w:rsid w:val="007254DF"/>
    <w:rsid w:val="00774D26"/>
    <w:rsid w:val="00776CFB"/>
    <w:rsid w:val="007E09CB"/>
    <w:rsid w:val="008A7392"/>
    <w:rsid w:val="008D35A4"/>
    <w:rsid w:val="009047B0"/>
    <w:rsid w:val="0092582F"/>
    <w:rsid w:val="009318AC"/>
    <w:rsid w:val="00966206"/>
    <w:rsid w:val="00966423"/>
    <w:rsid w:val="00966E70"/>
    <w:rsid w:val="00977F49"/>
    <w:rsid w:val="009C6004"/>
    <w:rsid w:val="00A01504"/>
    <w:rsid w:val="00A72537"/>
    <w:rsid w:val="00A734C1"/>
    <w:rsid w:val="00AB04BF"/>
    <w:rsid w:val="00AC000C"/>
    <w:rsid w:val="00AD64A3"/>
    <w:rsid w:val="00B24627"/>
    <w:rsid w:val="00BC2B7F"/>
    <w:rsid w:val="00C122B0"/>
    <w:rsid w:val="00C64195"/>
    <w:rsid w:val="00CD030E"/>
    <w:rsid w:val="00D06704"/>
    <w:rsid w:val="00D12733"/>
    <w:rsid w:val="00D933EA"/>
    <w:rsid w:val="00E203E8"/>
    <w:rsid w:val="00E27560"/>
    <w:rsid w:val="00E471DE"/>
    <w:rsid w:val="00EA3076"/>
    <w:rsid w:val="00EB59AF"/>
    <w:rsid w:val="00EE50A5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9371-FB9C-4E23-BFD0-92946778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Branislav</cp:lastModifiedBy>
  <cp:revision>11</cp:revision>
  <cp:lastPrinted>2019-02-18T13:08:00Z</cp:lastPrinted>
  <dcterms:created xsi:type="dcterms:W3CDTF">2019-02-20T10:14:00Z</dcterms:created>
  <dcterms:modified xsi:type="dcterms:W3CDTF">2019-02-28T19:19:00Z</dcterms:modified>
</cp:coreProperties>
</file>