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E14C84">
              <w:rPr>
                <w:rFonts w:ascii="Calibri" w:hAnsi="Calibri" w:cs="Calibri"/>
              </w:rPr>
              <w:t>Ethnology and Cultural Anthropology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F07DC" w:rsidRPr="00E14C84">
              <w:rPr>
                <w:rFonts w:ascii="Calibri" w:hAnsi="Calibri" w:cs="Calibri"/>
              </w:rPr>
              <w:t>MA; 1st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FF07DC">
              <w:rPr>
                <w:rFonts w:ascii="Calibri" w:hAnsi="Calibri" w:cs="Calibri"/>
              </w:rPr>
              <w:t xml:space="preserve"> Political Anthropology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B60D0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Introductory course to key concepts for cultural analysis of politics.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F07DC" w:rsidRPr="00E14C84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E14C84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</w:t>
            </w:r>
            <w:r w:rsidR="00FF07DC">
              <w:rPr>
                <w:rFonts w:ascii="Calibri" w:hAnsi="Calibri" w:cs="Calibri"/>
              </w:rPr>
              <w:t>r.Duško</w:t>
            </w:r>
            <w:proofErr w:type="spellEnd"/>
            <w:r w:rsidR="00FF07DC">
              <w:rPr>
                <w:rFonts w:ascii="Calibri" w:hAnsi="Calibri" w:cs="Calibri"/>
              </w:rPr>
              <w:t xml:space="preserve"> Petrović</w:t>
            </w:r>
            <w:r>
              <w:rPr>
                <w:rFonts w:ascii="Calibri" w:hAnsi="Calibri" w:cs="Calibri"/>
              </w:rPr>
              <w:t>, assistant professor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F07DC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8C301B" w:rsidRPr="00D12733">
              <w:t xml:space="preserve"> Direct instructions: teaching through lectures/seminars/exercises and teacher-led demonstrations in the classroom; Presentations; Classroom discussion</w:t>
            </w:r>
            <w:proofErr w:type="gramStart"/>
            <w:r w:rsidR="008C301B" w:rsidRPr="00D12733">
              <w:t>;</w:t>
            </w:r>
            <w:proofErr w:type="gramEnd"/>
            <w:r w:rsidR="008C301B" w:rsidRPr="00D12733">
              <w:t xml:space="preserve"> E-L</w:t>
            </w:r>
            <w:r w:rsidR="008C301B">
              <w:t>earning (Omega, etc.)</w:t>
            </w:r>
            <w:r w:rsidR="00E14C84">
              <w:t xml:space="preserve"> Fieldwork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320C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320C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0320C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320C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C301B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E14C84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="000320C3">
              <w:rPr>
                <w:rFonts w:ascii="Calibri" w:hAnsi="Calibri" w:cs="Calibri"/>
              </w:rPr>
              <w:t xml:space="preserve">(exchange) students: </w:t>
            </w:r>
            <w:r w:rsidR="00E14C84"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E14C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14C84">
              <w:rPr>
                <w:rFonts w:ascii="Calibri" w:hAnsi="Calibri" w:cs="Calibri"/>
              </w:rPr>
              <w:t xml:space="preserve"> </w:t>
            </w:r>
            <w:r w:rsidR="000320C3"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14C84">
              <w:rPr>
                <w:rFonts w:ascii="Calibri" w:hAnsi="Calibri" w:cs="Calibri"/>
              </w:rPr>
              <w:t xml:space="preserve"> </w:t>
            </w:r>
          </w:p>
          <w:p w:rsidR="00EB59AF" w:rsidRDefault="000320C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Oral exam, </w:t>
            </w:r>
            <w:r w:rsidRPr="00D12733">
              <w:rPr>
                <w:sz w:val="20"/>
                <w:szCs w:val="20"/>
              </w:rPr>
              <w:t xml:space="preserve"> Standard</w:t>
            </w:r>
            <w:r w:rsidR="00E14C84">
              <w:rPr>
                <w:sz w:val="20"/>
                <w:szCs w:val="20"/>
              </w:rPr>
              <w:t xml:space="preserve"> grading system</w:t>
            </w:r>
          </w:p>
        </w:tc>
      </w:tr>
      <w:tr w:rsidR="00714366" w:rsidRPr="00E14C84" w:rsidTr="00714366">
        <w:tc>
          <w:tcPr>
            <w:tcW w:w="9396" w:type="dxa"/>
            <w:gridSpan w:val="3"/>
          </w:tcPr>
          <w:p w:rsidR="00714366" w:rsidRPr="007B1F0C" w:rsidRDefault="005D7B91" w:rsidP="007B1F0C">
            <w:pPr>
              <w:rPr>
                <w:rFonts w:cstheme="minorHAnsi"/>
              </w:rPr>
            </w:pPr>
            <w:r w:rsidRPr="007B1F0C">
              <w:rPr>
                <w:rFonts w:cstheme="minorHAnsi"/>
              </w:rPr>
              <w:t>Learning Outcomes:</w:t>
            </w:r>
          </w:p>
          <w:p w:rsidR="00E14C84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>– analyze and compare different research approaches in political anthropology</w:t>
            </w:r>
          </w:p>
          <w:p w:rsidR="00E14C84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>– synthesis of contributions of different approaches</w:t>
            </w:r>
          </w:p>
          <w:p w:rsidR="00E14C84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>– formulating a systematic research of relationships between culture and power</w:t>
            </w:r>
          </w:p>
          <w:p w:rsidR="00E14C84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lastRenderedPageBreak/>
              <w:t>– approaching politics from the perspective of cultural anthropology</w:t>
            </w:r>
          </w:p>
          <w:p w:rsidR="00E14C84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 xml:space="preserve">– critical and </w:t>
            </w:r>
            <w:proofErr w:type="spellStart"/>
            <w:r w:rsidRPr="007B1F0C">
              <w:rPr>
                <w:rFonts w:eastAsia="Times New Roman" w:cstheme="minorHAnsi"/>
                <w:color w:val="333333"/>
              </w:rPr>
              <w:t>metatheoretical</w:t>
            </w:r>
            <w:proofErr w:type="spellEnd"/>
            <w:r w:rsidRPr="007B1F0C">
              <w:rPr>
                <w:rFonts w:eastAsia="Times New Roman" w:cstheme="minorHAnsi"/>
                <w:color w:val="333333"/>
              </w:rPr>
              <w:t xml:space="preserve"> analysis of the influence of politics on anthropological theory and research practice</w:t>
            </w:r>
          </w:p>
          <w:p w:rsidR="00EB59AF" w:rsidRPr="007B1F0C" w:rsidRDefault="00E14C84" w:rsidP="007B1F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>– plan and organize own research of a political phenomenon using appropriate qualitative research techniques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B60D09" w:rsidRPr="007B1F0C" w:rsidRDefault="00B60D09" w:rsidP="007B1F0C">
            <w:pPr>
              <w:shd w:val="clear" w:color="auto" w:fill="FFFFFF"/>
              <w:ind w:left="72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lastRenderedPageBreak/>
              <w:t>L</w:t>
            </w:r>
            <w:r w:rsidR="007B1F0C">
              <w:rPr>
                <w:rFonts w:eastAsia="Times New Roman" w:cstheme="minorHAnsi"/>
                <w:color w:val="333333"/>
              </w:rPr>
              <w:t>it</w:t>
            </w:r>
            <w:r w:rsidRPr="007B1F0C">
              <w:rPr>
                <w:rFonts w:eastAsia="Times New Roman" w:cstheme="minorHAnsi"/>
                <w:color w:val="333333"/>
              </w:rPr>
              <w:t>erature:</w:t>
            </w:r>
          </w:p>
          <w:p w:rsidR="000320C3" w:rsidRPr="007B1F0C" w:rsidRDefault="000320C3" w:rsidP="007B1F0C">
            <w:pPr>
              <w:shd w:val="clear" w:color="auto" w:fill="FFFFFF"/>
              <w:ind w:left="72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 xml:space="preserve">LEWELLEN, Ted C. (2003.): Political Anthropology. Connecticut-London: </w:t>
            </w:r>
            <w:proofErr w:type="spellStart"/>
            <w:r w:rsidRPr="007B1F0C">
              <w:rPr>
                <w:rFonts w:eastAsia="Times New Roman" w:cstheme="minorHAnsi"/>
                <w:color w:val="333333"/>
              </w:rPr>
              <w:t>Praeger</w:t>
            </w:r>
            <w:proofErr w:type="spellEnd"/>
          </w:p>
          <w:p w:rsidR="00B60D09" w:rsidRPr="007B1F0C" w:rsidRDefault="00B60D09" w:rsidP="00B60D09">
            <w:pPr>
              <w:shd w:val="clear" w:color="auto" w:fill="FFFFFF"/>
              <w:ind w:left="72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 xml:space="preserve">VINCENT, Joan i NUGENT, David. 2007. A companion to the Anthropology of Politics. Blackwell. </w:t>
            </w:r>
          </w:p>
          <w:p w:rsidR="00B60D09" w:rsidRPr="007B1F0C" w:rsidRDefault="00B60D09" w:rsidP="00B60D09">
            <w:pPr>
              <w:shd w:val="clear" w:color="auto" w:fill="FFFFFF"/>
              <w:ind w:left="720"/>
              <w:rPr>
                <w:rFonts w:eastAsia="Times New Roman" w:cstheme="minorHAnsi"/>
                <w:color w:val="333333"/>
              </w:rPr>
            </w:pPr>
            <w:r w:rsidRPr="007B1F0C">
              <w:rPr>
                <w:rFonts w:eastAsia="Times New Roman" w:cstheme="minorHAnsi"/>
                <w:color w:val="333333"/>
              </w:rPr>
              <w:t>CHEATER, Angela. 1999. The anthropology of power. Routledge.</w:t>
            </w:r>
          </w:p>
          <w:p w:rsidR="00EB59AF" w:rsidRPr="007B1F0C" w:rsidRDefault="00EB59AF" w:rsidP="00B60D09">
            <w:pPr>
              <w:tabs>
                <w:tab w:val="left" w:pos="2235"/>
              </w:tabs>
              <w:rPr>
                <w:rFonts w:cstheme="minorHAnsi"/>
              </w:rPr>
            </w:pPr>
          </w:p>
        </w:tc>
      </w:tr>
    </w:tbl>
    <w:p w:rsidR="000320C3" w:rsidRDefault="000320C3" w:rsidP="003E03D6">
      <w:pPr>
        <w:jc w:val="center"/>
        <w:rPr>
          <w:b/>
          <w:color w:val="0070C0"/>
          <w:sz w:val="36"/>
          <w:szCs w:val="36"/>
        </w:rPr>
      </w:pP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7F" w:rsidRDefault="0032497F" w:rsidP="00714366">
      <w:pPr>
        <w:spacing w:after="0" w:line="240" w:lineRule="auto"/>
      </w:pPr>
      <w:r>
        <w:separator/>
      </w:r>
    </w:p>
  </w:endnote>
  <w:endnote w:type="continuationSeparator" w:id="0">
    <w:p w:rsidR="0032497F" w:rsidRDefault="0032497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7F" w:rsidRDefault="0032497F" w:rsidP="00714366">
      <w:pPr>
        <w:spacing w:after="0" w:line="240" w:lineRule="auto"/>
      </w:pPr>
      <w:r>
        <w:separator/>
      </w:r>
    </w:p>
  </w:footnote>
  <w:footnote w:type="continuationSeparator" w:id="0">
    <w:p w:rsidR="0032497F" w:rsidRDefault="0032497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  </w:t>
      </w:r>
      <w:proofErr w:type="spellStart"/>
      <w:r w:rsidRPr="007B1F0C">
        <w:rPr>
          <w:lang w:val="hr-HR"/>
        </w:rPr>
        <w:t>According</w:t>
      </w:r>
      <w:proofErr w:type="spellEnd"/>
      <w:r w:rsidRPr="007B1F0C">
        <w:rPr>
          <w:lang w:val="hr-HR"/>
        </w:rPr>
        <w:t xml:space="preserve"> to CEFR (</w:t>
      </w:r>
      <w:proofErr w:type="spellStart"/>
      <w:r w:rsidRPr="007B1F0C">
        <w:rPr>
          <w:lang w:val="hr-HR"/>
        </w:rPr>
        <w:t>e.g</w:t>
      </w:r>
      <w:proofErr w:type="spellEnd"/>
      <w:r w:rsidRPr="007B1F0C">
        <w:rPr>
          <w:lang w:val="hr-HR"/>
        </w:rPr>
        <w:t>. English B2, German C1…)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 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options</w:t>
      </w:r>
      <w:proofErr w:type="spellEnd"/>
      <w:r w:rsidRPr="007B1F0C">
        <w:rPr>
          <w:lang w:val="hr-HR"/>
        </w:rPr>
        <w:t xml:space="preserve"> for </w:t>
      </w:r>
      <w:proofErr w:type="spellStart"/>
      <w:r w:rsidRPr="007B1F0C">
        <w:rPr>
          <w:lang w:val="hr-HR"/>
        </w:rPr>
        <w:t>guest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exchange</w:t>
      </w:r>
      <w:proofErr w:type="spellEnd"/>
      <w:r w:rsidRPr="007B1F0C">
        <w:rPr>
          <w:lang w:val="hr-HR"/>
        </w:rPr>
        <w:t xml:space="preserve">) </w:t>
      </w:r>
      <w:proofErr w:type="spellStart"/>
      <w:r w:rsidRPr="007B1F0C">
        <w:rPr>
          <w:lang w:val="hr-HR"/>
        </w:rPr>
        <w:t>students</w:t>
      </w:r>
      <w:proofErr w:type="spellEnd"/>
      <w:r w:rsidRPr="007B1F0C">
        <w:rPr>
          <w:lang w:val="hr-HR"/>
        </w:rPr>
        <w:t>):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L1 - All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activities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will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be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held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in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regular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. </w:t>
      </w:r>
      <w:proofErr w:type="spellStart"/>
      <w:r w:rsidRPr="007B1F0C">
        <w:rPr>
          <w:lang w:val="hr-HR"/>
        </w:rPr>
        <w:t>However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guest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exchange</w:t>
      </w:r>
      <w:proofErr w:type="spellEnd"/>
      <w:r w:rsidRPr="007B1F0C">
        <w:rPr>
          <w:lang w:val="hr-HR"/>
        </w:rPr>
        <w:t xml:space="preserve">) </w:t>
      </w:r>
      <w:proofErr w:type="spellStart"/>
      <w:r w:rsidRPr="007B1F0C">
        <w:rPr>
          <w:lang w:val="hr-HR"/>
        </w:rPr>
        <w:t>students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will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have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opportunity</w:t>
      </w:r>
      <w:proofErr w:type="spellEnd"/>
      <w:r w:rsidRPr="007B1F0C">
        <w:rPr>
          <w:lang w:val="hr-HR"/>
        </w:rPr>
        <w:t xml:space="preserve"> to </w:t>
      </w:r>
      <w:proofErr w:type="spellStart"/>
      <w:r w:rsidRPr="007B1F0C">
        <w:rPr>
          <w:lang w:val="hr-HR"/>
        </w:rPr>
        <w:t>attend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additional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consultations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with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lecturer</w:t>
      </w:r>
      <w:proofErr w:type="spellEnd"/>
      <w:r w:rsidRPr="007B1F0C">
        <w:rPr>
          <w:lang w:val="hr-HR"/>
        </w:rPr>
        <w:t xml:space="preserve"> and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assistants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in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foreign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indicated</w:t>
      </w:r>
      <w:proofErr w:type="spellEnd"/>
      <w:r w:rsidRPr="007B1F0C">
        <w:rPr>
          <w:lang w:val="hr-HR"/>
        </w:rPr>
        <w:t xml:space="preserve"> as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 for </w:t>
      </w:r>
      <w:proofErr w:type="spellStart"/>
      <w:r w:rsidRPr="007B1F0C">
        <w:rPr>
          <w:lang w:val="hr-HR"/>
        </w:rPr>
        <w:t>guest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exchange</w:t>
      </w:r>
      <w:proofErr w:type="spellEnd"/>
      <w:r w:rsidRPr="007B1F0C">
        <w:rPr>
          <w:lang w:val="hr-HR"/>
        </w:rPr>
        <w:t xml:space="preserve">) </w:t>
      </w:r>
      <w:proofErr w:type="spellStart"/>
      <w:r w:rsidRPr="007B1F0C">
        <w:rPr>
          <w:lang w:val="hr-HR"/>
        </w:rPr>
        <w:t>students</w:t>
      </w:r>
      <w:proofErr w:type="spellEnd"/>
      <w:r w:rsidRPr="007B1F0C">
        <w:rPr>
          <w:lang w:val="hr-HR"/>
        </w:rPr>
        <w:t xml:space="preserve">), to </w:t>
      </w:r>
      <w:proofErr w:type="spellStart"/>
      <w:r w:rsidRPr="007B1F0C">
        <w:rPr>
          <w:lang w:val="hr-HR"/>
        </w:rPr>
        <w:t>help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master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course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materials</w:t>
      </w:r>
      <w:proofErr w:type="spellEnd"/>
      <w:r w:rsidRPr="007B1F0C">
        <w:rPr>
          <w:lang w:val="hr-HR"/>
        </w:rPr>
        <w:t xml:space="preserve">. </w:t>
      </w:r>
      <w:proofErr w:type="spellStart"/>
      <w:r w:rsidRPr="007B1F0C">
        <w:rPr>
          <w:lang w:val="hr-HR"/>
        </w:rPr>
        <w:t>Additionally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lecturer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will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refer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guest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exchange</w:t>
      </w:r>
      <w:proofErr w:type="spellEnd"/>
      <w:r w:rsidRPr="007B1F0C">
        <w:rPr>
          <w:lang w:val="hr-HR"/>
        </w:rPr>
        <w:t xml:space="preserve">) </w:t>
      </w:r>
      <w:proofErr w:type="spellStart"/>
      <w:r w:rsidRPr="007B1F0C">
        <w:rPr>
          <w:lang w:val="hr-HR"/>
        </w:rPr>
        <w:t>students</w:t>
      </w:r>
      <w:proofErr w:type="spellEnd"/>
      <w:r w:rsidRPr="007B1F0C">
        <w:rPr>
          <w:lang w:val="hr-HR"/>
        </w:rPr>
        <w:t xml:space="preserve"> to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corresponding</w:t>
      </w:r>
      <w:proofErr w:type="spellEnd"/>
      <w:r w:rsidRPr="007B1F0C">
        <w:rPr>
          <w:lang w:val="hr-HR"/>
        </w:rPr>
        <w:t xml:space="preserve"> literature </w:t>
      </w:r>
      <w:proofErr w:type="spellStart"/>
      <w:r w:rsidRPr="007B1F0C">
        <w:rPr>
          <w:lang w:val="hr-HR"/>
        </w:rPr>
        <w:t>in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foreign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, as </w:t>
      </w:r>
      <w:proofErr w:type="spellStart"/>
      <w:r w:rsidRPr="007B1F0C">
        <w:rPr>
          <w:lang w:val="hr-HR"/>
        </w:rPr>
        <w:t>well</w:t>
      </w:r>
      <w:proofErr w:type="spellEnd"/>
      <w:r w:rsidRPr="007B1F0C">
        <w:rPr>
          <w:lang w:val="hr-HR"/>
        </w:rPr>
        <w:t xml:space="preserve"> as </w:t>
      </w:r>
      <w:proofErr w:type="spellStart"/>
      <w:r w:rsidRPr="007B1F0C">
        <w:rPr>
          <w:lang w:val="hr-HR"/>
        </w:rPr>
        <w:t>give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them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possibility</w:t>
      </w:r>
      <w:proofErr w:type="spellEnd"/>
      <w:r w:rsidRPr="007B1F0C">
        <w:rPr>
          <w:lang w:val="hr-HR"/>
        </w:rPr>
        <w:t xml:space="preserve"> of </w:t>
      </w:r>
      <w:proofErr w:type="spellStart"/>
      <w:r w:rsidRPr="007B1F0C">
        <w:rPr>
          <w:lang w:val="hr-HR"/>
        </w:rPr>
        <w:t>taking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associated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exams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in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foreign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>.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L2 - All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activities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will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be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held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in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regular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teaching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language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only</w:t>
      </w:r>
      <w:proofErr w:type="spellEnd"/>
      <w:r w:rsidRPr="007B1F0C">
        <w:rPr>
          <w:lang w:val="hr-HR"/>
        </w:rPr>
        <w:t>.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  </w:t>
      </w:r>
      <w:proofErr w:type="spellStart"/>
      <w:r w:rsidRPr="007B1F0C">
        <w:rPr>
          <w:lang w:val="hr-HR"/>
        </w:rPr>
        <w:t>Class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attendance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Essay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Preliminary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exam</w:t>
      </w:r>
      <w:proofErr w:type="spellEnd"/>
      <w:r w:rsidRPr="007B1F0C">
        <w:rPr>
          <w:lang w:val="hr-HR"/>
        </w:rPr>
        <w:t xml:space="preserve">, Seminar </w:t>
      </w:r>
      <w:proofErr w:type="spellStart"/>
      <w:r w:rsidRPr="007B1F0C">
        <w:rPr>
          <w:lang w:val="hr-HR"/>
        </w:rPr>
        <w:t>paper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Practical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work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Written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exam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Oral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Exam</w:t>
      </w:r>
      <w:proofErr w:type="spellEnd"/>
      <w:r w:rsidRPr="007B1F0C">
        <w:rPr>
          <w:lang w:val="hr-HR"/>
        </w:rPr>
        <w:t xml:space="preserve">, </w:t>
      </w:r>
      <w:proofErr w:type="spellStart"/>
      <w:r w:rsidRPr="007B1F0C">
        <w:rPr>
          <w:lang w:val="hr-HR"/>
        </w:rPr>
        <w:t>Other</w:t>
      </w:r>
      <w:proofErr w:type="spellEnd"/>
      <w:r w:rsidRPr="007B1F0C">
        <w:rPr>
          <w:lang w:val="hr-HR"/>
        </w:rPr>
        <w:t xml:space="preserve"> (</w:t>
      </w:r>
      <w:proofErr w:type="spellStart"/>
      <w:r w:rsidRPr="007B1F0C">
        <w:rPr>
          <w:lang w:val="hr-HR"/>
        </w:rPr>
        <w:t>specify</w:t>
      </w:r>
      <w:proofErr w:type="spellEnd"/>
      <w:r w:rsidRPr="007B1F0C">
        <w:rPr>
          <w:lang w:val="hr-HR"/>
        </w:rPr>
        <w:t>)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  Standard - </w:t>
      </w:r>
      <w:proofErr w:type="spellStart"/>
      <w:r w:rsidRPr="007B1F0C">
        <w:rPr>
          <w:lang w:val="hr-HR"/>
        </w:rPr>
        <w:t>the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institutional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grading</w:t>
      </w:r>
      <w:proofErr w:type="spellEnd"/>
      <w:r w:rsidRPr="007B1F0C">
        <w:rPr>
          <w:lang w:val="hr-HR"/>
        </w:rPr>
        <w:t xml:space="preserve"> system (5 </w:t>
      </w:r>
      <w:proofErr w:type="spellStart"/>
      <w:r w:rsidRPr="007B1F0C">
        <w:rPr>
          <w:lang w:val="hr-HR"/>
        </w:rPr>
        <w:t>Excellent</w:t>
      </w:r>
      <w:proofErr w:type="spellEnd"/>
      <w:r w:rsidRPr="007B1F0C">
        <w:rPr>
          <w:lang w:val="hr-HR"/>
        </w:rPr>
        <w:t xml:space="preserve">; 4 </w:t>
      </w:r>
      <w:proofErr w:type="spellStart"/>
      <w:r w:rsidRPr="007B1F0C">
        <w:rPr>
          <w:lang w:val="hr-HR"/>
        </w:rPr>
        <w:t>Very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good</w:t>
      </w:r>
      <w:proofErr w:type="spellEnd"/>
      <w:r w:rsidRPr="007B1F0C">
        <w:rPr>
          <w:lang w:val="hr-HR"/>
        </w:rPr>
        <w:t xml:space="preserve">; 3 </w:t>
      </w:r>
      <w:proofErr w:type="spellStart"/>
      <w:r w:rsidRPr="007B1F0C">
        <w:rPr>
          <w:lang w:val="hr-HR"/>
        </w:rPr>
        <w:t>Good</w:t>
      </w:r>
      <w:proofErr w:type="spellEnd"/>
      <w:r w:rsidRPr="007B1F0C">
        <w:rPr>
          <w:lang w:val="hr-HR"/>
        </w:rPr>
        <w:t xml:space="preserve">; 2 </w:t>
      </w:r>
      <w:proofErr w:type="spellStart"/>
      <w:r w:rsidRPr="007B1F0C">
        <w:rPr>
          <w:lang w:val="hr-HR"/>
        </w:rPr>
        <w:t>Sufficient</w:t>
      </w:r>
      <w:proofErr w:type="spellEnd"/>
      <w:r w:rsidRPr="007B1F0C">
        <w:rPr>
          <w:lang w:val="hr-HR"/>
        </w:rPr>
        <w:t xml:space="preserve">; 1 </w:t>
      </w:r>
      <w:proofErr w:type="spellStart"/>
      <w:r w:rsidRPr="007B1F0C">
        <w:rPr>
          <w:lang w:val="hr-HR"/>
        </w:rPr>
        <w:t>Fail</w:t>
      </w:r>
      <w:proofErr w:type="spellEnd"/>
      <w:r w:rsidRPr="007B1F0C">
        <w:rPr>
          <w:lang w:val="hr-HR"/>
        </w:rPr>
        <w:t>)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proofErr w:type="spellStart"/>
      <w:r w:rsidRPr="007B1F0C">
        <w:rPr>
          <w:lang w:val="hr-HR"/>
        </w:rPr>
        <w:t>Additional</w:t>
      </w:r>
      <w:proofErr w:type="spellEnd"/>
      <w:r w:rsidRPr="007B1F0C">
        <w:rPr>
          <w:lang w:val="hr-HR"/>
        </w:rPr>
        <w:t xml:space="preserve">: 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RA - </w:t>
      </w:r>
      <w:proofErr w:type="spellStart"/>
      <w:r w:rsidRPr="007B1F0C">
        <w:rPr>
          <w:lang w:val="hr-HR"/>
        </w:rPr>
        <w:t>Regular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Attendance</w:t>
      </w:r>
      <w:proofErr w:type="spellEnd"/>
      <w:r w:rsidRPr="007B1F0C">
        <w:rPr>
          <w:lang w:val="hr-HR"/>
        </w:rPr>
        <w:t xml:space="preserve"> (No ECTS </w:t>
      </w:r>
      <w:proofErr w:type="spellStart"/>
      <w:r w:rsidRPr="007B1F0C">
        <w:rPr>
          <w:lang w:val="hr-HR"/>
        </w:rPr>
        <w:t>credits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awarded</w:t>
      </w:r>
      <w:proofErr w:type="spellEnd"/>
      <w:r w:rsidRPr="007B1F0C">
        <w:rPr>
          <w:lang w:val="hr-HR"/>
        </w:rPr>
        <w:t xml:space="preserve"> for </w:t>
      </w:r>
      <w:proofErr w:type="spellStart"/>
      <w:r w:rsidRPr="007B1F0C">
        <w:rPr>
          <w:lang w:val="hr-HR"/>
        </w:rPr>
        <w:t>course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attendance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only</w:t>
      </w:r>
      <w:proofErr w:type="spellEnd"/>
      <w:r w:rsidRPr="007B1F0C">
        <w:rPr>
          <w:lang w:val="hr-HR"/>
        </w:rPr>
        <w:t>)</w:t>
      </w:r>
    </w:p>
    <w:p w:rsidR="007B1F0C" w:rsidRPr="007B1F0C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C - </w:t>
      </w:r>
      <w:proofErr w:type="spellStart"/>
      <w:r w:rsidRPr="007B1F0C">
        <w:rPr>
          <w:lang w:val="hr-HR"/>
        </w:rPr>
        <w:t>Completed</w:t>
      </w:r>
      <w:proofErr w:type="spellEnd"/>
      <w:r w:rsidRPr="007B1F0C">
        <w:rPr>
          <w:lang w:val="hr-HR"/>
        </w:rPr>
        <w:t xml:space="preserve"> (Student </w:t>
      </w:r>
      <w:proofErr w:type="spellStart"/>
      <w:r w:rsidRPr="007B1F0C">
        <w:rPr>
          <w:lang w:val="hr-HR"/>
        </w:rPr>
        <w:t>has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completed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proscribed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obligations</w:t>
      </w:r>
      <w:proofErr w:type="spellEnd"/>
      <w:r w:rsidRPr="007B1F0C">
        <w:rPr>
          <w:lang w:val="hr-HR"/>
        </w:rPr>
        <w:t xml:space="preserve">/no ECTS </w:t>
      </w:r>
      <w:proofErr w:type="spellStart"/>
      <w:r w:rsidRPr="007B1F0C">
        <w:rPr>
          <w:lang w:val="hr-HR"/>
        </w:rPr>
        <w:t>credits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awarded</w:t>
      </w:r>
      <w:proofErr w:type="spellEnd"/>
      <w:r w:rsidRPr="007B1F0C">
        <w:rPr>
          <w:lang w:val="hr-HR"/>
        </w:rPr>
        <w:t>)</w:t>
      </w:r>
    </w:p>
    <w:p w:rsidR="00BC2B7F" w:rsidRPr="00D12733" w:rsidRDefault="007B1F0C" w:rsidP="007B1F0C">
      <w:pPr>
        <w:pStyle w:val="FootnoteText"/>
        <w:jc w:val="both"/>
        <w:rPr>
          <w:lang w:val="hr-HR"/>
        </w:rPr>
      </w:pPr>
      <w:r w:rsidRPr="007B1F0C">
        <w:rPr>
          <w:lang w:val="hr-HR"/>
        </w:rPr>
        <w:t xml:space="preserve">C+ – </w:t>
      </w:r>
      <w:proofErr w:type="spellStart"/>
      <w:r w:rsidRPr="007B1F0C">
        <w:rPr>
          <w:lang w:val="hr-HR"/>
        </w:rPr>
        <w:t>Completed</w:t>
      </w:r>
      <w:proofErr w:type="spellEnd"/>
      <w:r w:rsidRPr="007B1F0C">
        <w:rPr>
          <w:lang w:val="hr-HR"/>
        </w:rPr>
        <w:t xml:space="preserve"> + ECTS (Student </w:t>
      </w:r>
      <w:proofErr w:type="spellStart"/>
      <w:r w:rsidRPr="007B1F0C">
        <w:rPr>
          <w:lang w:val="hr-HR"/>
        </w:rPr>
        <w:t>has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completed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proscribed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obligations</w:t>
      </w:r>
      <w:proofErr w:type="spellEnd"/>
      <w:r w:rsidRPr="007B1F0C">
        <w:rPr>
          <w:lang w:val="hr-HR"/>
        </w:rPr>
        <w:t xml:space="preserve"> + ECTS </w:t>
      </w:r>
      <w:proofErr w:type="spellStart"/>
      <w:r w:rsidRPr="007B1F0C">
        <w:rPr>
          <w:lang w:val="hr-HR"/>
        </w:rPr>
        <w:t>credits</w:t>
      </w:r>
      <w:proofErr w:type="spellEnd"/>
      <w:r w:rsidRPr="007B1F0C">
        <w:rPr>
          <w:lang w:val="hr-HR"/>
        </w:rPr>
        <w:t xml:space="preserve"> </w:t>
      </w:r>
      <w:proofErr w:type="spellStart"/>
      <w:r w:rsidRPr="007B1F0C">
        <w:rPr>
          <w:lang w:val="hr-HR"/>
        </w:rPr>
        <w:t>awarded</w:t>
      </w:r>
      <w:proofErr w:type="spellEnd"/>
      <w:r w:rsidRPr="007B1F0C">
        <w:rPr>
          <w:lang w:val="hr-HR"/>
        </w:rPr>
        <w:t>)</w:t>
      </w:r>
      <w:bookmarkStart w:id="0" w:name="_GoBack"/>
      <w:bookmarkEnd w:id="0"/>
    </w:p>
  </w:footnote>
  <w:footnote w:id="6">
    <w:p w:rsidR="00B60D09" w:rsidRPr="00B60D09" w:rsidRDefault="00B60D09" w:rsidP="00B60D09">
      <w:pPr>
        <w:pStyle w:val="FootnoteText"/>
        <w:jc w:val="both"/>
      </w:pPr>
    </w:p>
    <w:p w:rsidR="00BC2B7F" w:rsidRPr="00D12733" w:rsidRDefault="00BC2B7F" w:rsidP="007E09CB">
      <w:pPr>
        <w:pStyle w:val="FootnoteText"/>
        <w:jc w:val="both"/>
        <w:rPr>
          <w:lang w:val="hr-HR"/>
        </w:rPr>
      </w:pP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3A9"/>
    <w:multiLevelType w:val="multilevel"/>
    <w:tmpl w:val="7CB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80543"/>
    <w:multiLevelType w:val="multilevel"/>
    <w:tmpl w:val="2F04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E37B5"/>
    <w:multiLevelType w:val="multilevel"/>
    <w:tmpl w:val="98A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15E8D"/>
    <w:multiLevelType w:val="multilevel"/>
    <w:tmpl w:val="43AE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20C3"/>
    <w:rsid w:val="00034999"/>
    <w:rsid w:val="0007245F"/>
    <w:rsid w:val="000A052C"/>
    <w:rsid w:val="00120BC5"/>
    <w:rsid w:val="00195BAC"/>
    <w:rsid w:val="00230887"/>
    <w:rsid w:val="00297469"/>
    <w:rsid w:val="0032497F"/>
    <w:rsid w:val="003804F7"/>
    <w:rsid w:val="00381EEA"/>
    <w:rsid w:val="0038533E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B1F0C"/>
    <w:rsid w:val="007E09CB"/>
    <w:rsid w:val="008C301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60D09"/>
    <w:rsid w:val="00BC2B7F"/>
    <w:rsid w:val="00C0298B"/>
    <w:rsid w:val="00C122B0"/>
    <w:rsid w:val="00C64195"/>
    <w:rsid w:val="00CD030E"/>
    <w:rsid w:val="00D06704"/>
    <w:rsid w:val="00D12733"/>
    <w:rsid w:val="00D933EA"/>
    <w:rsid w:val="00DE1DFE"/>
    <w:rsid w:val="00E14C84"/>
    <w:rsid w:val="00E203E8"/>
    <w:rsid w:val="00E471DE"/>
    <w:rsid w:val="00EB59AF"/>
    <w:rsid w:val="00EF3067"/>
    <w:rsid w:val="00F117E5"/>
    <w:rsid w:val="00F24889"/>
    <w:rsid w:val="00F929BB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774"/>
  <w15:docId w15:val="{449F82CE-6F7D-4D1D-B10B-2C0F101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C1E7-F36D-4724-B823-D556F16D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2019-02-18T13:08:00Z</cp:lastPrinted>
  <dcterms:created xsi:type="dcterms:W3CDTF">2019-03-05T11:12:00Z</dcterms:created>
  <dcterms:modified xsi:type="dcterms:W3CDTF">2019-04-25T14:45:00Z</dcterms:modified>
</cp:coreProperties>
</file>