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F96A7C" w:rsidRPr="00FF23A8" w:rsidTr="00EC7931">
        <w:tc>
          <w:tcPr>
            <w:tcW w:w="9396" w:type="dxa"/>
            <w:gridSpan w:val="3"/>
          </w:tcPr>
          <w:p w:rsidR="00F96A7C" w:rsidRPr="00FF23A8" w:rsidRDefault="00F96A7C" w:rsidP="00EC7931">
            <w:pPr>
              <w:rPr>
                <w:rFonts w:cs="Calibri"/>
              </w:rPr>
            </w:pPr>
            <w:r w:rsidRPr="00FF23A8">
              <w:rPr>
                <w:rFonts w:cs="Calibri"/>
              </w:rPr>
              <w:t xml:space="preserve">STUDY PROGRAMME: </w:t>
            </w:r>
          </w:p>
          <w:p w:rsidR="00F96A7C" w:rsidRPr="00FF23A8" w:rsidRDefault="00F96A7C" w:rsidP="00AA4B42">
            <w:pPr>
              <w:rPr>
                <w:rFonts w:cs="Calibri"/>
              </w:rPr>
            </w:pPr>
            <w:r w:rsidRPr="00FF23A8">
              <w:rPr>
                <w:rFonts w:cs="Calibri"/>
              </w:rPr>
              <w:t>Phonetics</w:t>
            </w:r>
            <w:r w:rsidR="00AA4B42" w:rsidRPr="00FF23A8">
              <w:rPr>
                <w:rFonts w:cs="Calibri"/>
              </w:rPr>
              <w:t xml:space="preserve"> (also offered to other departments)</w:t>
            </w:r>
          </w:p>
        </w:tc>
      </w:tr>
      <w:tr w:rsidR="00F96A7C" w:rsidRPr="00FF23A8" w:rsidTr="00EC7931">
        <w:tc>
          <w:tcPr>
            <w:tcW w:w="9396" w:type="dxa"/>
            <w:gridSpan w:val="3"/>
          </w:tcPr>
          <w:p w:rsidR="00F96A7C" w:rsidRPr="00FF23A8" w:rsidRDefault="00F96A7C" w:rsidP="00EC7931">
            <w:pPr>
              <w:rPr>
                <w:rFonts w:cs="Calibri"/>
                <w:color w:val="FF0000"/>
              </w:rPr>
            </w:pPr>
            <w:r w:rsidRPr="00FF23A8">
              <w:rPr>
                <w:rFonts w:cs="Calibri"/>
              </w:rPr>
              <w:t>Level and Year</w:t>
            </w:r>
            <w:r w:rsidRPr="00FF23A8">
              <w:rPr>
                <w:rStyle w:val="FootnoteReference"/>
                <w:rFonts w:cs="Calibri"/>
              </w:rPr>
              <w:footnoteReference w:id="1"/>
            </w:r>
            <w:r w:rsidRPr="00FF23A8">
              <w:rPr>
                <w:rFonts w:cs="Calibri"/>
              </w:rPr>
              <w:t xml:space="preserve">: </w:t>
            </w:r>
            <w:r w:rsidRPr="00FF23A8">
              <w:rPr>
                <w:rFonts w:cs="Calibri"/>
                <w:color w:val="FF0000"/>
              </w:rPr>
              <w:t xml:space="preserve"> MA (1</w:t>
            </w:r>
            <w:r w:rsidRPr="00FF23A8">
              <w:rPr>
                <w:rFonts w:cs="Calibri"/>
                <w:color w:val="FF0000"/>
                <w:vertAlign w:val="superscript"/>
              </w:rPr>
              <w:t>st</w:t>
            </w:r>
            <w:r w:rsidRPr="00FF23A8">
              <w:rPr>
                <w:rFonts w:cs="Calibri"/>
                <w:color w:val="FF0000"/>
              </w:rPr>
              <w:t xml:space="preserve"> or 2</w:t>
            </w:r>
            <w:r w:rsidRPr="00FF23A8">
              <w:rPr>
                <w:rFonts w:cs="Calibri"/>
                <w:color w:val="FF0000"/>
                <w:vertAlign w:val="superscript"/>
              </w:rPr>
              <w:t>nd</w:t>
            </w:r>
            <w:r w:rsidRPr="00FF23A8">
              <w:rPr>
                <w:rFonts w:cs="Calibri"/>
                <w:color w:val="FF0000"/>
              </w:rPr>
              <w:t xml:space="preserve"> year)</w:t>
            </w: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Course Title:  Research into Speech Perception</w:t>
            </w:r>
          </w:p>
          <w:p w:rsidR="00F96A7C" w:rsidRPr="00FF23A8" w:rsidRDefault="00F96A7C" w:rsidP="00EC7931">
            <w:pPr>
              <w:rPr>
                <w:rFonts w:cs="Calibri"/>
              </w:rPr>
            </w:pPr>
          </w:p>
        </w:tc>
      </w:tr>
      <w:tr w:rsidR="00F96A7C" w:rsidRPr="00FF23A8" w:rsidTr="00EC7931">
        <w:tc>
          <w:tcPr>
            <w:tcW w:w="9396" w:type="dxa"/>
            <w:gridSpan w:val="3"/>
          </w:tcPr>
          <w:p w:rsidR="00DF5C57" w:rsidRPr="00FF23A8" w:rsidRDefault="00DF5C57" w:rsidP="00DF5C57">
            <w:pPr>
              <w:tabs>
                <w:tab w:val="left" w:pos="-720"/>
              </w:tabs>
              <w:suppressAutoHyphens/>
              <w:rPr>
                <w:spacing w:val="-3"/>
              </w:rPr>
            </w:pPr>
            <w:r w:rsidRPr="00FF23A8">
              <w:rPr>
                <w:spacing w:val="-3"/>
              </w:rPr>
              <w:t>This is a research-oriented course. Each student is expected to choose a topic for independent study by the 7</w:t>
            </w:r>
            <w:r w:rsidRPr="00FF23A8">
              <w:rPr>
                <w:spacing w:val="-3"/>
                <w:vertAlign w:val="superscript"/>
              </w:rPr>
              <w:t>th</w:t>
            </w:r>
            <w:r w:rsidRPr="00FF23A8">
              <w:rPr>
                <w:spacing w:val="-3"/>
              </w:rPr>
              <w:t xml:space="preserve"> week at the latest. About one third of course work (4 weeks) is devoted to the theoretical background (fundamentals of speech perception including (neuro)physiological basis: basic anatomy and physiology of hearing, theories and models of speech perception, research methods), and about two thirds (8 weeks) to in-class discussions about relevant reading and students’ research. The last week of classes will be organized as a symposium at which students will present their work.</w:t>
            </w:r>
          </w:p>
          <w:p w:rsidR="00F96A7C" w:rsidRPr="00FF23A8" w:rsidRDefault="00DF5C57" w:rsidP="00DF5C57">
            <w:pPr>
              <w:rPr>
                <w:rFonts w:cs="Calibri"/>
              </w:rPr>
            </w:pPr>
            <w:r w:rsidRPr="00FF23A8">
              <w:rPr>
                <w:spacing w:val="-3"/>
              </w:rPr>
              <w:t>Students who successfully complete the course will be familiar with the basic mechanisms of hearing and speech perception, they will be able to find relevant literature for a particular problem/topic, master terminology and scientific discourse in the area of speech perception, and above all gain skills in planning, conducting and reporting their own research. Authors of outstanding papers will be encouraged to submit their work to appropriate journals.</w:t>
            </w:r>
          </w:p>
        </w:tc>
      </w:tr>
      <w:tr w:rsidR="00F96A7C" w:rsidRPr="00FF23A8" w:rsidTr="00EC7931">
        <w:tc>
          <w:tcPr>
            <w:tcW w:w="9396" w:type="dxa"/>
            <w:gridSpan w:val="3"/>
          </w:tcPr>
          <w:p w:rsidR="00F96A7C" w:rsidRPr="00FF23A8" w:rsidRDefault="00F96A7C" w:rsidP="00EC7931">
            <w:pPr>
              <w:rPr>
                <w:rFonts w:cs="Calibri"/>
                <w:color w:val="FF0000"/>
              </w:rPr>
            </w:pPr>
            <w:r w:rsidRPr="00FF23A8">
              <w:rPr>
                <w:rFonts w:cs="Calibri"/>
              </w:rPr>
              <w:t>Semester</w:t>
            </w:r>
            <w:r w:rsidRPr="00FF23A8">
              <w:rPr>
                <w:rStyle w:val="FootnoteReference"/>
                <w:rFonts w:cs="Calibri"/>
              </w:rPr>
              <w:footnoteReference w:id="2"/>
            </w:r>
            <w:r w:rsidRPr="00FF23A8">
              <w:rPr>
                <w:rFonts w:cs="Calibri"/>
              </w:rPr>
              <w:t>:</w:t>
            </w:r>
            <w:r w:rsidR="00AA4B42" w:rsidRPr="00FF23A8">
              <w:rPr>
                <w:rFonts w:cs="Calibri"/>
                <w:color w:val="FF0000"/>
              </w:rPr>
              <w:t xml:space="preserve"> Winter</w:t>
            </w: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Lecturer(s)/Teacher(s): Professor Vesna Mildner, Ph.D.</w:t>
            </w:r>
          </w:p>
          <w:p w:rsidR="00F96A7C" w:rsidRPr="00FF23A8" w:rsidRDefault="00F96A7C" w:rsidP="00EC7931">
            <w:pPr>
              <w:rPr>
                <w:rFonts w:cs="Calibri"/>
              </w:rPr>
            </w:pP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Teaching Language (regular)</w:t>
            </w:r>
            <w:r w:rsidRPr="00FF23A8">
              <w:rPr>
                <w:rStyle w:val="FootnoteReference"/>
                <w:rFonts w:cs="Calibri"/>
              </w:rPr>
              <w:footnoteReference w:id="3"/>
            </w:r>
            <w:r w:rsidRPr="00FF23A8">
              <w:rPr>
                <w:rFonts w:cs="Calibri"/>
              </w:rPr>
              <w:t>: English</w:t>
            </w: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Teaching Methods (regular):</w:t>
            </w:r>
            <w:r w:rsidRPr="00FF23A8">
              <w:rPr>
                <w:rStyle w:val="FootnoteReference"/>
                <w:rFonts w:cs="Calibri"/>
              </w:rPr>
              <w:footnoteReference w:id="4"/>
            </w:r>
            <w:r w:rsidRPr="00FF23A8">
              <w:rPr>
                <w:rFonts w:cs="Calibri"/>
              </w:rPr>
              <w:t xml:space="preserve"> Direct instructions, seminar, </w:t>
            </w:r>
            <w:r w:rsidR="00C74E5B" w:rsidRPr="00FF23A8">
              <w:rPr>
                <w:rFonts w:cs="Calibri"/>
              </w:rPr>
              <w:t xml:space="preserve">presentations, </w:t>
            </w:r>
            <w:r w:rsidRPr="00FF23A8">
              <w:rPr>
                <w:rFonts w:cs="Calibri"/>
              </w:rPr>
              <w:t>Omega</w:t>
            </w:r>
          </w:p>
          <w:p w:rsidR="00F96A7C" w:rsidRPr="00FF23A8" w:rsidRDefault="00F96A7C" w:rsidP="00EC7931">
            <w:pPr>
              <w:rPr>
                <w:rFonts w:cs="Calibri"/>
              </w:rPr>
            </w:pPr>
          </w:p>
        </w:tc>
      </w:tr>
      <w:tr w:rsidR="00F96A7C" w:rsidRPr="00FF23A8" w:rsidTr="00EC7931">
        <w:tc>
          <w:tcPr>
            <w:tcW w:w="3132" w:type="dxa"/>
          </w:tcPr>
          <w:p w:rsidR="00F96A7C" w:rsidRPr="00FF23A8" w:rsidRDefault="00F96A7C" w:rsidP="00EC7931">
            <w:pPr>
              <w:rPr>
                <w:rFonts w:cs="Calibri"/>
              </w:rPr>
            </w:pPr>
            <w:r w:rsidRPr="00FF23A8">
              <w:rPr>
                <w:rFonts w:cs="Calibri"/>
              </w:rPr>
              <w:t>Teaching:</w:t>
            </w:r>
          </w:p>
        </w:tc>
        <w:tc>
          <w:tcPr>
            <w:tcW w:w="3132" w:type="dxa"/>
          </w:tcPr>
          <w:p w:rsidR="00F96A7C" w:rsidRPr="00FF23A8" w:rsidRDefault="00F96A7C" w:rsidP="00EC7931">
            <w:pPr>
              <w:rPr>
                <w:rFonts w:cs="Calibri"/>
              </w:rPr>
            </w:pPr>
            <w:r w:rsidRPr="00FF23A8">
              <w:rPr>
                <w:rFonts w:cs="Calibri"/>
              </w:rPr>
              <w:t>Weekly (hours)</w:t>
            </w:r>
          </w:p>
          <w:p w:rsidR="00C74E5B" w:rsidRPr="00FF23A8" w:rsidRDefault="00C74E5B" w:rsidP="00EC7931">
            <w:pPr>
              <w:rPr>
                <w:rFonts w:cs="Calibri"/>
              </w:rPr>
            </w:pPr>
            <w:r w:rsidRPr="00FF23A8">
              <w:rPr>
                <w:rFonts w:cs="Calibri"/>
              </w:rPr>
              <w:t>2</w:t>
            </w:r>
          </w:p>
        </w:tc>
        <w:tc>
          <w:tcPr>
            <w:tcW w:w="3132" w:type="dxa"/>
          </w:tcPr>
          <w:p w:rsidR="00F96A7C" w:rsidRPr="00FF23A8" w:rsidRDefault="00F96A7C" w:rsidP="00EC7931">
            <w:pPr>
              <w:rPr>
                <w:rFonts w:cs="Calibri"/>
              </w:rPr>
            </w:pPr>
            <w:r w:rsidRPr="00FF23A8">
              <w:rPr>
                <w:rFonts w:cs="Calibri"/>
              </w:rPr>
              <w:t>Semester (hours)</w:t>
            </w:r>
          </w:p>
          <w:p w:rsidR="00F96A7C" w:rsidRPr="00FF23A8" w:rsidRDefault="00F96A7C" w:rsidP="00EC7931">
            <w:pPr>
              <w:rPr>
                <w:rFonts w:cs="Calibri"/>
              </w:rPr>
            </w:pPr>
          </w:p>
        </w:tc>
      </w:tr>
      <w:tr w:rsidR="00F96A7C" w:rsidRPr="00FF23A8" w:rsidTr="00EC7931">
        <w:tc>
          <w:tcPr>
            <w:tcW w:w="3132" w:type="dxa"/>
          </w:tcPr>
          <w:p w:rsidR="00F96A7C" w:rsidRPr="00FF23A8" w:rsidRDefault="00F96A7C" w:rsidP="00EC7931">
            <w:pPr>
              <w:rPr>
                <w:rFonts w:cs="Calibri"/>
              </w:rPr>
            </w:pPr>
            <w:r w:rsidRPr="00FF23A8">
              <w:rPr>
                <w:rFonts w:cs="Calibri"/>
              </w:rPr>
              <w:t>Lectures:</w:t>
            </w:r>
          </w:p>
        </w:tc>
        <w:tc>
          <w:tcPr>
            <w:tcW w:w="3132" w:type="dxa"/>
          </w:tcPr>
          <w:p w:rsidR="00F96A7C" w:rsidRPr="00FF23A8" w:rsidRDefault="00F96A7C" w:rsidP="00EC7931">
            <w:pPr>
              <w:rPr>
                <w:rFonts w:cs="Calibri"/>
              </w:rPr>
            </w:pPr>
          </w:p>
        </w:tc>
        <w:tc>
          <w:tcPr>
            <w:tcW w:w="3132" w:type="dxa"/>
          </w:tcPr>
          <w:p w:rsidR="00F96A7C" w:rsidRPr="00FF23A8" w:rsidRDefault="00C74E5B" w:rsidP="00EC7931">
            <w:pPr>
              <w:rPr>
                <w:rFonts w:cs="Calibri"/>
              </w:rPr>
            </w:pPr>
            <w:r w:rsidRPr="00FF23A8">
              <w:rPr>
                <w:rFonts w:cs="Calibri"/>
              </w:rPr>
              <w:t>10</w:t>
            </w:r>
          </w:p>
        </w:tc>
      </w:tr>
      <w:tr w:rsidR="00F96A7C" w:rsidRPr="00FF23A8" w:rsidTr="00EC7931">
        <w:tc>
          <w:tcPr>
            <w:tcW w:w="3132" w:type="dxa"/>
          </w:tcPr>
          <w:p w:rsidR="00F96A7C" w:rsidRPr="00FF23A8" w:rsidRDefault="00F96A7C" w:rsidP="00EC7931">
            <w:pPr>
              <w:rPr>
                <w:rFonts w:cs="Calibri"/>
              </w:rPr>
            </w:pPr>
            <w:r w:rsidRPr="00FF23A8">
              <w:rPr>
                <w:rFonts w:cs="Calibri"/>
              </w:rPr>
              <w:t>Exercises:</w:t>
            </w:r>
          </w:p>
        </w:tc>
        <w:tc>
          <w:tcPr>
            <w:tcW w:w="3132" w:type="dxa"/>
          </w:tcPr>
          <w:p w:rsidR="00F96A7C" w:rsidRPr="00FF23A8" w:rsidRDefault="00F96A7C" w:rsidP="00EC7931">
            <w:pPr>
              <w:rPr>
                <w:rFonts w:cs="Calibri"/>
              </w:rPr>
            </w:pPr>
          </w:p>
        </w:tc>
        <w:tc>
          <w:tcPr>
            <w:tcW w:w="3132" w:type="dxa"/>
          </w:tcPr>
          <w:p w:rsidR="00F96A7C" w:rsidRPr="00FF23A8" w:rsidRDefault="00F96A7C" w:rsidP="00EC7931">
            <w:pPr>
              <w:rPr>
                <w:rFonts w:cs="Calibri"/>
              </w:rPr>
            </w:pPr>
          </w:p>
        </w:tc>
      </w:tr>
      <w:tr w:rsidR="00F96A7C" w:rsidRPr="00FF23A8" w:rsidTr="00EC7931">
        <w:tc>
          <w:tcPr>
            <w:tcW w:w="3132" w:type="dxa"/>
          </w:tcPr>
          <w:p w:rsidR="00F96A7C" w:rsidRPr="00FF23A8" w:rsidRDefault="00F96A7C" w:rsidP="00EC7931">
            <w:pPr>
              <w:rPr>
                <w:rFonts w:cs="Calibri"/>
              </w:rPr>
            </w:pPr>
            <w:r w:rsidRPr="00FF23A8">
              <w:rPr>
                <w:rFonts w:cs="Calibri"/>
              </w:rPr>
              <w:t>Seminars:</w:t>
            </w:r>
          </w:p>
        </w:tc>
        <w:tc>
          <w:tcPr>
            <w:tcW w:w="3132" w:type="dxa"/>
          </w:tcPr>
          <w:p w:rsidR="00F96A7C" w:rsidRPr="00FF23A8" w:rsidRDefault="00F96A7C" w:rsidP="00EC7931">
            <w:pPr>
              <w:rPr>
                <w:rFonts w:cs="Calibri"/>
              </w:rPr>
            </w:pPr>
          </w:p>
        </w:tc>
        <w:tc>
          <w:tcPr>
            <w:tcW w:w="3132" w:type="dxa"/>
          </w:tcPr>
          <w:p w:rsidR="00F96A7C" w:rsidRPr="00FF23A8" w:rsidRDefault="00C74E5B" w:rsidP="00EC7931">
            <w:pPr>
              <w:rPr>
                <w:rFonts w:cs="Calibri"/>
              </w:rPr>
            </w:pPr>
            <w:r w:rsidRPr="00FF23A8">
              <w:rPr>
                <w:rFonts w:cs="Calibri"/>
              </w:rPr>
              <w:t>20</w:t>
            </w: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ECTS: 5</w:t>
            </w: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Teaching language and level</w:t>
            </w:r>
            <w:r w:rsidRPr="00FF23A8">
              <w:rPr>
                <w:rStyle w:val="FootnoteReference"/>
                <w:rFonts w:cs="Calibri"/>
              </w:rPr>
              <w:footnoteReference w:id="5"/>
            </w:r>
            <w:r w:rsidRPr="00FF23A8">
              <w:rPr>
                <w:rFonts w:cs="Calibri"/>
              </w:rPr>
              <w:t xml:space="preserve">  for guest (exchange) students: English B2</w:t>
            </w:r>
          </w:p>
          <w:p w:rsidR="00F96A7C" w:rsidRPr="00FF23A8" w:rsidRDefault="00F96A7C" w:rsidP="00EC7931">
            <w:pPr>
              <w:rPr>
                <w:rFonts w:cs="Calibri"/>
              </w:rPr>
            </w:pP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Teaching Methods</w:t>
            </w:r>
            <w:r w:rsidRPr="00FF23A8">
              <w:rPr>
                <w:rStyle w:val="FootnoteReference"/>
                <w:rFonts w:cs="Calibri"/>
              </w:rPr>
              <w:footnoteReference w:id="6"/>
            </w:r>
            <w:r w:rsidRPr="00FF23A8">
              <w:rPr>
                <w:rFonts w:cs="Calibri"/>
              </w:rPr>
              <w:t xml:space="preserve"> for guest (exchange) students: L2</w:t>
            </w:r>
          </w:p>
          <w:p w:rsidR="00F96A7C" w:rsidRPr="00FF23A8" w:rsidRDefault="00F96A7C" w:rsidP="00EC7931">
            <w:pPr>
              <w:rPr>
                <w:rFonts w:cs="Calibri"/>
              </w:rPr>
            </w:pP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Evaluation Methods</w:t>
            </w:r>
            <w:r w:rsidRPr="00FF23A8">
              <w:rPr>
                <w:rStyle w:val="FootnoteReference"/>
                <w:rFonts w:cs="Calibri"/>
              </w:rPr>
              <w:footnoteReference w:id="7"/>
            </w:r>
            <w:r w:rsidRPr="00FF23A8">
              <w:rPr>
                <w:rFonts w:cs="Calibri"/>
              </w:rPr>
              <w:t xml:space="preserve"> and Grading</w:t>
            </w:r>
            <w:r w:rsidRPr="00FF23A8">
              <w:rPr>
                <w:rStyle w:val="FootnoteReference"/>
                <w:rFonts w:cs="Calibri"/>
              </w:rPr>
              <w:footnoteReference w:id="8"/>
            </w:r>
            <w:r w:rsidRPr="00FF23A8">
              <w:rPr>
                <w:rFonts w:cs="Calibri"/>
              </w:rPr>
              <w:t>:</w:t>
            </w:r>
          </w:p>
          <w:p w:rsidR="00F96A7C" w:rsidRPr="00FF23A8" w:rsidRDefault="00C74E5B" w:rsidP="00C74E5B">
            <w:pPr>
              <w:rPr>
                <w:rFonts w:cs="Calibri"/>
              </w:rPr>
            </w:pPr>
            <w:r w:rsidRPr="00FF23A8">
              <w:lastRenderedPageBreak/>
              <w:t>Attendance and class work</w:t>
            </w:r>
            <w:r w:rsidR="00F96A7C" w:rsidRPr="00FF23A8">
              <w:t xml:space="preserve"> (35 %); </w:t>
            </w:r>
            <w:r w:rsidRPr="00FF23A8">
              <w:t>final presentation</w:t>
            </w:r>
            <w:r w:rsidR="00F96A7C" w:rsidRPr="00FF23A8">
              <w:t xml:space="preserve"> (25 %); </w:t>
            </w:r>
            <w:r w:rsidRPr="00FF23A8">
              <w:t>written seminar paper</w:t>
            </w:r>
            <w:r w:rsidR="00F96A7C" w:rsidRPr="00FF23A8">
              <w:t xml:space="preserve"> (40 %)</w:t>
            </w:r>
            <w:r w:rsidR="00AA4B42" w:rsidRPr="00FF23A8">
              <w:t>; standard</w:t>
            </w:r>
          </w:p>
        </w:tc>
      </w:tr>
      <w:tr w:rsidR="00F96A7C" w:rsidRPr="00FF23A8" w:rsidTr="00EC7931">
        <w:tc>
          <w:tcPr>
            <w:tcW w:w="9396" w:type="dxa"/>
            <w:gridSpan w:val="3"/>
          </w:tcPr>
          <w:p w:rsidR="00F96A7C" w:rsidRPr="00FF23A8" w:rsidRDefault="00F96A7C" w:rsidP="00EC7931">
            <w:pPr>
              <w:rPr>
                <w:rFonts w:cs="Calibri"/>
              </w:rPr>
            </w:pPr>
            <w:r w:rsidRPr="00FF23A8">
              <w:rPr>
                <w:rFonts w:cs="Calibri"/>
              </w:rPr>
              <w:lastRenderedPageBreak/>
              <w:t>Learning Outcomes:</w:t>
            </w:r>
          </w:p>
          <w:p w:rsidR="00C74E5B" w:rsidRPr="00FF23A8" w:rsidRDefault="00C74E5B" w:rsidP="00EC7931">
            <w:pPr>
              <w:rPr>
                <w:rFonts w:cs="Calibri"/>
              </w:rPr>
            </w:pPr>
            <w:r w:rsidRPr="00FF23A8">
              <w:rPr>
                <w:rFonts w:cs="Calibri"/>
              </w:rPr>
              <w:t>After successful completion of the course, the students will be able to</w:t>
            </w:r>
          </w:p>
          <w:p w:rsidR="00F96A7C" w:rsidRPr="00FF23A8" w:rsidRDefault="00C74E5B" w:rsidP="00C74E5B">
            <w:pPr>
              <w:pStyle w:val="ListParagraph"/>
              <w:numPr>
                <w:ilvl w:val="0"/>
                <w:numId w:val="5"/>
              </w:numPr>
              <w:rPr>
                <w:rFonts w:eastAsia="Times New Roman" w:cs="Times New Roman"/>
                <w:lang w:eastAsia="hr-HR"/>
              </w:rPr>
            </w:pPr>
            <w:r w:rsidRPr="00FF23A8">
              <w:rPr>
                <w:rFonts w:eastAsia="Times New Roman" w:cs="Times New Roman"/>
                <w:lang w:eastAsia="hr-HR"/>
              </w:rPr>
              <w:t>plan research</w:t>
            </w:r>
            <w:r w:rsidR="00F96A7C" w:rsidRPr="00FF23A8">
              <w:rPr>
                <w:rFonts w:eastAsia="Times New Roman" w:cs="Times New Roman"/>
                <w:lang w:eastAsia="hr-HR"/>
              </w:rPr>
              <w:t xml:space="preserve"> </w:t>
            </w:r>
          </w:p>
          <w:p w:rsidR="00F96A7C" w:rsidRPr="00FF23A8" w:rsidRDefault="00C74E5B" w:rsidP="00C74E5B">
            <w:pPr>
              <w:pStyle w:val="ListParagraph"/>
              <w:numPr>
                <w:ilvl w:val="0"/>
                <w:numId w:val="5"/>
              </w:numPr>
              <w:rPr>
                <w:rFonts w:eastAsia="Times New Roman" w:cs="Times New Roman"/>
                <w:lang w:eastAsia="hr-HR"/>
              </w:rPr>
            </w:pPr>
            <w:r w:rsidRPr="00FF23A8">
              <w:rPr>
                <w:rFonts w:eastAsia="Times New Roman" w:cs="Times New Roman"/>
                <w:lang w:eastAsia="hr-HR"/>
              </w:rPr>
              <w:t>identify the research problem and choose suitable research methods</w:t>
            </w:r>
            <w:r w:rsidR="00F96A7C" w:rsidRPr="00FF23A8">
              <w:rPr>
                <w:rFonts w:eastAsia="Times New Roman" w:cs="Times New Roman"/>
                <w:lang w:eastAsia="hr-HR"/>
              </w:rPr>
              <w:t xml:space="preserve"> </w:t>
            </w:r>
          </w:p>
          <w:p w:rsidR="00F96A7C" w:rsidRPr="00FF23A8" w:rsidRDefault="00C74E5B" w:rsidP="00C74E5B">
            <w:pPr>
              <w:pStyle w:val="ListParagraph"/>
              <w:numPr>
                <w:ilvl w:val="0"/>
                <w:numId w:val="5"/>
              </w:numPr>
              <w:rPr>
                <w:rFonts w:eastAsia="Times New Roman" w:cs="Times New Roman"/>
                <w:lang w:eastAsia="hr-HR"/>
              </w:rPr>
            </w:pPr>
            <w:r w:rsidRPr="00FF23A8">
              <w:rPr>
                <w:rFonts w:eastAsia="Times New Roman" w:cs="Times New Roman"/>
                <w:lang w:eastAsia="hr-HR"/>
              </w:rPr>
              <w:t xml:space="preserve">conduct research, </w:t>
            </w:r>
            <w:r w:rsidR="00FF23A8" w:rsidRPr="00FF23A8">
              <w:rPr>
                <w:rFonts w:eastAsia="Times New Roman" w:cs="Times New Roman"/>
                <w:lang w:eastAsia="hr-HR"/>
              </w:rPr>
              <w:t>including</w:t>
            </w:r>
            <w:r w:rsidRPr="00FF23A8">
              <w:rPr>
                <w:rFonts w:eastAsia="Times New Roman" w:cs="Times New Roman"/>
                <w:lang w:eastAsia="hr-HR"/>
              </w:rPr>
              <w:t xml:space="preserve"> all steps from obtaining </w:t>
            </w:r>
            <w:r w:rsidR="00526191" w:rsidRPr="00FF23A8">
              <w:rPr>
                <w:rFonts w:eastAsia="Times New Roman" w:cs="Times New Roman"/>
                <w:lang w:eastAsia="hr-HR"/>
              </w:rPr>
              <w:t>informed consent to dat</w:t>
            </w:r>
            <w:r w:rsidRPr="00FF23A8">
              <w:rPr>
                <w:rFonts w:eastAsia="Times New Roman" w:cs="Times New Roman"/>
                <w:lang w:eastAsia="hr-HR"/>
              </w:rPr>
              <w:t>a gathering</w:t>
            </w:r>
            <w:r w:rsidR="00F96A7C" w:rsidRPr="00FF23A8">
              <w:rPr>
                <w:rFonts w:eastAsia="Times New Roman" w:cs="Times New Roman"/>
                <w:lang w:eastAsia="hr-HR"/>
              </w:rPr>
              <w:t xml:space="preserve"> </w:t>
            </w:r>
          </w:p>
          <w:p w:rsidR="00F96A7C" w:rsidRPr="00FF23A8" w:rsidRDefault="00C74E5B" w:rsidP="00C74E5B">
            <w:pPr>
              <w:pStyle w:val="ListParagraph"/>
              <w:numPr>
                <w:ilvl w:val="0"/>
                <w:numId w:val="5"/>
              </w:numPr>
              <w:rPr>
                <w:rFonts w:eastAsia="Times New Roman" w:cs="Times New Roman"/>
                <w:lang w:eastAsia="hr-HR"/>
              </w:rPr>
            </w:pPr>
            <w:r w:rsidRPr="00FF23A8">
              <w:rPr>
                <w:rFonts w:eastAsia="Times New Roman" w:cs="Times New Roman"/>
                <w:lang w:eastAsia="hr-HR"/>
              </w:rPr>
              <w:t>analyze and interpret obtained results</w:t>
            </w:r>
            <w:r w:rsidR="00F96A7C" w:rsidRPr="00FF23A8">
              <w:rPr>
                <w:rFonts w:eastAsia="Times New Roman" w:cs="Times New Roman"/>
                <w:lang w:eastAsia="hr-HR"/>
              </w:rPr>
              <w:t xml:space="preserve"> </w:t>
            </w:r>
          </w:p>
          <w:p w:rsidR="00F96A7C" w:rsidRPr="00FF23A8" w:rsidRDefault="00C74E5B" w:rsidP="00C74E5B">
            <w:pPr>
              <w:pStyle w:val="ListParagraph"/>
              <w:numPr>
                <w:ilvl w:val="0"/>
                <w:numId w:val="5"/>
              </w:numPr>
              <w:rPr>
                <w:rFonts w:eastAsia="Times New Roman" w:cs="Times New Roman"/>
                <w:lang w:eastAsia="hr-HR"/>
              </w:rPr>
            </w:pPr>
            <w:r w:rsidRPr="00FF23A8">
              <w:rPr>
                <w:rFonts w:eastAsia="Times New Roman" w:cs="Times New Roman"/>
                <w:lang w:eastAsia="hr-HR"/>
              </w:rPr>
              <w:t>present their work in front of colleagues</w:t>
            </w:r>
            <w:r w:rsidR="00F96A7C" w:rsidRPr="00FF23A8">
              <w:rPr>
                <w:rFonts w:eastAsia="Times New Roman" w:cs="Times New Roman"/>
                <w:lang w:eastAsia="hr-HR"/>
              </w:rPr>
              <w:t xml:space="preserve"> </w:t>
            </w:r>
          </w:p>
          <w:p w:rsidR="00F96A7C" w:rsidRPr="00FF23A8" w:rsidRDefault="00C74E5B" w:rsidP="00C74E5B">
            <w:pPr>
              <w:pStyle w:val="ListParagraph"/>
              <w:numPr>
                <w:ilvl w:val="0"/>
                <w:numId w:val="5"/>
              </w:numPr>
              <w:rPr>
                <w:rFonts w:eastAsia="Times New Roman" w:cs="Times New Roman"/>
                <w:lang w:eastAsia="hr-HR"/>
              </w:rPr>
            </w:pPr>
            <w:r w:rsidRPr="00FF23A8">
              <w:rPr>
                <w:rFonts w:eastAsia="Times New Roman" w:cs="Times New Roman"/>
                <w:lang w:eastAsia="hr-HR"/>
              </w:rPr>
              <w:t>write the final seminar paper in the form of research article</w:t>
            </w:r>
            <w:r w:rsidR="00F96A7C" w:rsidRPr="00FF23A8">
              <w:rPr>
                <w:rFonts w:eastAsia="Times New Roman" w:cs="Times New Roman"/>
                <w:lang w:eastAsia="hr-HR"/>
              </w:rPr>
              <w:t xml:space="preserve"> </w:t>
            </w:r>
          </w:p>
          <w:p w:rsidR="00F96A7C" w:rsidRPr="00FF23A8" w:rsidRDefault="00C74E5B" w:rsidP="00C74E5B">
            <w:pPr>
              <w:pStyle w:val="ListParagraph"/>
              <w:numPr>
                <w:ilvl w:val="0"/>
                <w:numId w:val="5"/>
              </w:numPr>
              <w:rPr>
                <w:rFonts w:cs="Calibri"/>
              </w:rPr>
            </w:pPr>
            <w:r w:rsidRPr="00FF23A8">
              <w:rPr>
                <w:rFonts w:eastAsia="Times New Roman" w:cs="Times New Roman"/>
                <w:lang w:eastAsia="hr-HR"/>
              </w:rPr>
              <w:t>critically analyze and discuss research of others.</w:t>
            </w:r>
          </w:p>
          <w:p w:rsidR="00F96A7C" w:rsidRPr="00FF23A8" w:rsidRDefault="00F96A7C" w:rsidP="00EC7931">
            <w:pPr>
              <w:rPr>
                <w:rFonts w:cs="Calibri"/>
              </w:rPr>
            </w:pPr>
          </w:p>
        </w:tc>
      </w:tr>
      <w:tr w:rsidR="00F96A7C" w:rsidRPr="00FF23A8" w:rsidTr="00EC7931">
        <w:tc>
          <w:tcPr>
            <w:tcW w:w="9396" w:type="dxa"/>
            <w:gridSpan w:val="3"/>
          </w:tcPr>
          <w:p w:rsidR="00F96A7C" w:rsidRPr="00FF23A8" w:rsidRDefault="00F96A7C" w:rsidP="00EC7931">
            <w:pPr>
              <w:rPr>
                <w:rFonts w:cs="Calibri"/>
              </w:rPr>
            </w:pPr>
            <w:r w:rsidRPr="00FF23A8">
              <w:rPr>
                <w:rFonts w:cs="Calibri"/>
              </w:rPr>
              <w:t>Literature:</w:t>
            </w:r>
          </w:p>
          <w:p w:rsidR="00F96A7C" w:rsidRPr="00FF23A8" w:rsidRDefault="00F96A7C" w:rsidP="00EC7931">
            <w:pPr>
              <w:numPr>
                <w:ilvl w:val="0"/>
                <w:numId w:val="1"/>
              </w:numPr>
              <w:spacing w:before="100" w:beforeAutospacing="1" w:after="100" w:afterAutospacing="1"/>
              <w:rPr>
                <w:rFonts w:eastAsia="Times New Roman" w:cs="Times New Roman"/>
                <w:lang w:eastAsia="hr-HR"/>
              </w:rPr>
            </w:pPr>
            <w:r w:rsidRPr="00FF23A8">
              <w:rPr>
                <w:rFonts w:eastAsia="Times New Roman" w:cs="Times New Roman"/>
                <w:lang w:eastAsia="hr-HR"/>
              </w:rPr>
              <w:t>Hardcastle, W., Laver, W. and Gibbon, F. E. (eds.)(2010). The handbook of phonetic sciences. Oxford: Blackwell Publishers.</w:t>
            </w:r>
          </w:p>
          <w:p w:rsidR="00F96A7C" w:rsidRPr="00FF23A8" w:rsidRDefault="00F96A7C" w:rsidP="00EC7931">
            <w:pPr>
              <w:numPr>
                <w:ilvl w:val="0"/>
                <w:numId w:val="1"/>
              </w:numPr>
              <w:spacing w:before="100" w:beforeAutospacing="1" w:after="100" w:afterAutospacing="1"/>
              <w:rPr>
                <w:rFonts w:eastAsia="Times New Roman" w:cs="Times New Roman"/>
                <w:lang w:eastAsia="hr-HR"/>
              </w:rPr>
            </w:pPr>
            <w:r w:rsidRPr="00FF23A8">
              <w:rPr>
                <w:rFonts w:eastAsia="Times New Roman" w:cs="Times New Roman"/>
                <w:lang w:eastAsia="hr-HR"/>
              </w:rPr>
              <w:t>Mildner, V. (2007). The Cognitive Neuroscience of Human Communication. LEA (Psychology Press).</w:t>
            </w:r>
          </w:p>
          <w:p w:rsidR="00F96A7C" w:rsidRPr="00FF23A8" w:rsidRDefault="00F96A7C" w:rsidP="00EC7931">
            <w:pPr>
              <w:numPr>
                <w:ilvl w:val="0"/>
                <w:numId w:val="1"/>
              </w:numPr>
              <w:spacing w:before="100" w:beforeAutospacing="1" w:after="100" w:afterAutospacing="1"/>
              <w:rPr>
                <w:rFonts w:eastAsia="Times New Roman" w:cs="Times New Roman"/>
                <w:lang w:eastAsia="hr-HR"/>
              </w:rPr>
            </w:pPr>
            <w:r w:rsidRPr="00FF23A8">
              <w:rPr>
                <w:rFonts w:eastAsia="Times New Roman" w:cs="Times New Roman"/>
                <w:lang w:eastAsia="hr-HR"/>
              </w:rPr>
              <w:t>Moore, G., Tyler, L. and Marslen-Wilson (2010). The Perception of Speech: from sound to meaning. Oxford University Press (USA).</w:t>
            </w:r>
          </w:p>
          <w:p w:rsidR="00F96A7C" w:rsidRPr="00FF23A8" w:rsidRDefault="00F96A7C" w:rsidP="00EC7931">
            <w:pPr>
              <w:numPr>
                <w:ilvl w:val="0"/>
                <w:numId w:val="1"/>
              </w:numPr>
              <w:spacing w:before="100" w:beforeAutospacing="1" w:after="100" w:afterAutospacing="1"/>
              <w:rPr>
                <w:rFonts w:eastAsia="Times New Roman" w:cs="Times New Roman"/>
                <w:lang w:eastAsia="hr-HR"/>
              </w:rPr>
            </w:pPr>
            <w:r w:rsidRPr="00FF23A8">
              <w:rPr>
                <w:rFonts w:eastAsia="Times New Roman" w:cs="Times New Roman"/>
                <w:lang w:eastAsia="hr-HR"/>
              </w:rPr>
              <w:t>Pinel, J. P. J. (2008). Biopsychology. Pearson Higher Education, 7th Edition.</w:t>
            </w:r>
          </w:p>
          <w:p w:rsidR="00F96A7C" w:rsidRPr="00FF23A8" w:rsidRDefault="00F96A7C" w:rsidP="00EC7931">
            <w:pPr>
              <w:numPr>
                <w:ilvl w:val="0"/>
                <w:numId w:val="1"/>
              </w:numPr>
              <w:spacing w:before="100" w:beforeAutospacing="1" w:after="100" w:afterAutospacing="1"/>
              <w:rPr>
                <w:rFonts w:eastAsia="Times New Roman" w:cs="Times New Roman"/>
                <w:lang w:eastAsia="hr-HR"/>
              </w:rPr>
            </w:pPr>
            <w:r w:rsidRPr="00FF23A8">
              <w:rPr>
                <w:rFonts w:eastAsia="Times New Roman" w:cs="Times New Roman"/>
                <w:lang w:eastAsia="hr-HR"/>
              </w:rPr>
              <w:t>Seikel, A. J., King, D. W. and Drumright, D. G. (2005). Anatomy and Physiology for Speech, Language and Hearing. Singular.</w:t>
            </w:r>
          </w:p>
          <w:p w:rsidR="00DF5C57" w:rsidRPr="00FF23A8" w:rsidRDefault="00DF5C57" w:rsidP="00DF5C57">
            <w:pPr>
              <w:numPr>
                <w:ilvl w:val="0"/>
                <w:numId w:val="1"/>
              </w:numPr>
              <w:spacing w:before="100" w:beforeAutospacing="1" w:after="100" w:afterAutospacing="1"/>
              <w:rPr>
                <w:rFonts w:eastAsia="Times New Roman" w:cs="Times New Roman"/>
                <w:lang w:eastAsia="hr-HR"/>
              </w:rPr>
            </w:pPr>
            <w:r w:rsidRPr="00FF23A8">
              <w:rPr>
                <w:rFonts w:eastAsia="Times New Roman" w:cs="Times New Roman"/>
                <w:lang w:eastAsia="hr-HR"/>
              </w:rPr>
              <w:t>and relevant articles depending on the chosen topic of research</w:t>
            </w:r>
          </w:p>
          <w:p w:rsidR="00F96A7C" w:rsidRPr="00FF23A8" w:rsidRDefault="00F96A7C" w:rsidP="00EC7931">
            <w:pPr>
              <w:rPr>
                <w:rFonts w:cs="Calibri"/>
              </w:rPr>
            </w:pPr>
          </w:p>
          <w:p w:rsidR="00F96A7C" w:rsidRPr="00FF23A8" w:rsidRDefault="00F96A7C" w:rsidP="00EC7931">
            <w:pPr>
              <w:rPr>
                <w:rFonts w:cs="Calibri"/>
              </w:rPr>
            </w:pPr>
          </w:p>
        </w:tc>
      </w:tr>
    </w:tbl>
    <w:p w:rsidR="00F96A7C" w:rsidRPr="003E03D6" w:rsidRDefault="00F96A7C" w:rsidP="003E03D6">
      <w:pPr>
        <w:jc w:val="center"/>
        <w:rPr>
          <w:b/>
          <w:color w:val="0070C0"/>
          <w:sz w:val="36"/>
          <w:szCs w:val="36"/>
        </w:rPr>
      </w:pP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F9" w:rsidRDefault="000F38F9" w:rsidP="00714366">
      <w:pPr>
        <w:spacing w:after="0" w:line="240" w:lineRule="auto"/>
      </w:pPr>
      <w:r>
        <w:separator/>
      </w:r>
    </w:p>
  </w:endnote>
  <w:endnote w:type="continuationSeparator" w:id="0">
    <w:p w:rsidR="000F38F9" w:rsidRDefault="000F38F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F9" w:rsidRDefault="000F38F9" w:rsidP="00714366">
      <w:pPr>
        <w:spacing w:after="0" w:line="240" w:lineRule="auto"/>
      </w:pPr>
      <w:r>
        <w:separator/>
      </w:r>
    </w:p>
  </w:footnote>
  <w:footnote w:type="continuationSeparator" w:id="0">
    <w:p w:rsidR="000F38F9" w:rsidRDefault="000F38F9" w:rsidP="00714366">
      <w:pPr>
        <w:spacing w:after="0" w:line="240" w:lineRule="auto"/>
      </w:pPr>
      <w:r>
        <w:continuationSeparator/>
      </w:r>
    </w:p>
  </w:footnote>
  <w:footnote w:id="1">
    <w:p w:rsidR="00F96A7C" w:rsidRPr="00D12733" w:rsidRDefault="00F96A7C" w:rsidP="00F96A7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F96A7C" w:rsidRPr="00D12733" w:rsidRDefault="00F96A7C" w:rsidP="00F96A7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F96A7C" w:rsidRPr="00C64195" w:rsidRDefault="00F96A7C" w:rsidP="00F96A7C">
      <w:pPr>
        <w:pStyle w:val="FootnoteText"/>
        <w:jc w:val="both"/>
        <w:rPr>
          <w:lang w:val="hr-HR"/>
        </w:rPr>
      </w:pPr>
      <w:r>
        <w:rPr>
          <w:rStyle w:val="FootnoteReference"/>
        </w:rPr>
        <w:footnoteRef/>
      </w:r>
      <w:r>
        <w:t xml:space="preserve"> Teaching language according to the regular programme (e.g. Croatian, French, Slovenian…)</w:t>
      </w:r>
    </w:p>
  </w:footnote>
  <w:footnote w:id="4">
    <w:p w:rsidR="00F96A7C" w:rsidRPr="00D12733" w:rsidRDefault="00F96A7C" w:rsidP="00F96A7C">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F96A7C" w:rsidRPr="00D12733" w:rsidRDefault="00F96A7C" w:rsidP="00F96A7C">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F96A7C" w:rsidRDefault="00F96A7C" w:rsidP="00F96A7C">
      <w:pPr>
        <w:pStyle w:val="FootnoteText"/>
        <w:jc w:val="both"/>
      </w:pPr>
      <w:r w:rsidRPr="00D12733">
        <w:rPr>
          <w:rStyle w:val="FootnoteReference"/>
        </w:rPr>
        <w:footnoteRef/>
      </w:r>
      <w:r>
        <w:t xml:space="preserve"> </w:t>
      </w:r>
      <w:r w:rsidRPr="00D933EA">
        <w:rPr>
          <w:b/>
        </w:rPr>
        <w:t>Language options for guest (exchange) students):</w:t>
      </w:r>
    </w:p>
    <w:p w:rsidR="00F96A7C" w:rsidRPr="00D12733" w:rsidRDefault="00F96A7C" w:rsidP="00F96A7C">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96A7C" w:rsidRPr="00D12733" w:rsidRDefault="00F96A7C" w:rsidP="00F96A7C">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F96A7C" w:rsidRPr="00D12733" w:rsidRDefault="00F96A7C" w:rsidP="00F96A7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F96A7C" w:rsidRPr="00D12733" w:rsidRDefault="00F96A7C" w:rsidP="00F96A7C">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F96A7C" w:rsidRPr="00D12733" w:rsidRDefault="00F96A7C" w:rsidP="00F96A7C">
      <w:pPr>
        <w:spacing w:after="0" w:line="240" w:lineRule="auto"/>
        <w:jc w:val="both"/>
        <w:rPr>
          <w:sz w:val="20"/>
          <w:szCs w:val="20"/>
        </w:rPr>
      </w:pPr>
      <w:r w:rsidRPr="00D12733">
        <w:rPr>
          <w:sz w:val="20"/>
          <w:szCs w:val="20"/>
        </w:rPr>
        <w:t xml:space="preserve">Additional: </w:t>
      </w:r>
    </w:p>
    <w:p w:rsidR="00F96A7C" w:rsidRPr="00D12733" w:rsidRDefault="00F96A7C" w:rsidP="00F96A7C">
      <w:pPr>
        <w:spacing w:after="0" w:line="240" w:lineRule="auto"/>
        <w:jc w:val="both"/>
        <w:rPr>
          <w:sz w:val="20"/>
          <w:szCs w:val="20"/>
        </w:rPr>
      </w:pPr>
      <w:r w:rsidRPr="00D12733">
        <w:rPr>
          <w:sz w:val="20"/>
          <w:szCs w:val="20"/>
        </w:rPr>
        <w:t>RA - Regular Attendance (No ECTS credits awarded for course attendance only)</w:t>
      </w:r>
    </w:p>
    <w:p w:rsidR="00F96A7C" w:rsidRPr="00D12733" w:rsidRDefault="00F96A7C" w:rsidP="00F96A7C">
      <w:pPr>
        <w:spacing w:after="0" w:line="240" w:lineRule="auto"/>
        <w:jc w:val="both"/>
        <w:rPr>
          <w:sz w:val="20"/>
          <w:szCs w:val="20"/>
        </w:rPr>
      </w:pPr>
      <w:r w:rsidRPr="00D12733">
        <w:rPr>
          <w:sz w:val="20"/>
          <w:szCs w:val="20"/>
        </w:rPr>
        <w:t>C - Completed (Student has completed proscribed obligations/no ECTS credits awarded)</w:t>
      </w:r>
    </w:p>
    <w:p w:rsidR="00F96A7C" w:rsidRPr="00D12733" w:rsidRDefault="00F96A7C" w:rsidP="00F96A7C">
      <w:pPr>
        <w:spacing w:after="0" w:line="240" w:lineRule="auto"/>
        <w:jc w:val="both"/>
        <w:rPr>
          <w:sz w:val="20"/>
          <w:szCs w:val="20"/>
        </w:rPr>
      </w:pPr>
      <w:r w:rsidRPr="00D12733">
        <w:rPr>
          <w:sz w:val="20"/>
          <w:szCs w:val="20"/>
        </w:rPr>
        <w:t>C+ – Completed + ECTS (Student has completed proscribed obligations + ECTS credits awarded)</w:t>
      </w:r>
    </w:p>
    <w:p w:rsidR="00F96A7C" w:rsidRPr="00D12733" w:rsidRDefault="00F96A7C" w:rsidP="00F96A7C">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A65EE"/>
    <w:multiLevelType w:val="multilevel"/>
    <w:tmpl w:val="5CC43E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8DB449C"/>
    <w:multiLevelType w:val="hybridMultilevel"/>
    <w:tmpl w:val="A590FEEC"/>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DC39B8"/>
    <w:multiLevelType w:val="hybridMultilevel"/>
    <w:tmpl w:val="89C614E2"/>
    <w:lvl w:ilvl="0" w:tplc="7BA050D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64C437C"/>
    <w:multiLevelType w:val="multilevel"/>
    <w:tmpl w:val="52BE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E3080A"/>
    <w:multiLevelType w:val="hybridMultilevel"/>
    <w:tmpl w:val="4C9426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678F3"/>
    <w:rsid w:val="0007245F"/>
    <w:rsid w:val="000F38F9"/>
    <w:rsid w:val="00120BC5"/>
    <w:rsid w:val="001953B3"/>
    <w:rsid w:val="00195BAC"/>
    <w:rsid w:val="00230887"/>
    <w:rsid w:val="00297469"/>
    <w:rsid w:val="003804F7"/>
    <w:rsid w:val="00381EEA"/>
    <w:rsid w:val="003B1E7C"/>
    <w:rsid w:val="003E03D6"/>
    <w:rsid w:val="00465279"/>
    <w:rsid w:val="00525147"/>
    <w:rsid w:val="00526191"/>
    <w:rsid w:val="005D7B91"/>
    <w:rsid w:val="005F1F04"/>
    <w:rsid w:val="0062222F"/>
    <w:rsid w:val="00662550"/>
    <w:rsid w:val="00675172"/>
    <w:rsid w:val="00714366"/>
    <w:rsid w:val="007254DF"/>
    <w:rsid w:val="007E09CB"/>
    <w:rsid w:val="009047B0"/>
    <w:rsid w:val="0092582F"/>
    <w:rsid w:val="00966206"/>
    <w:rsid w:val="00966E70"/>
    <w:rsid w:val="009C6004"/>
    <w:rsid w:val="00A01504"/>
    <w:rsid w:val="00AA4B42"/>
    <w:rsid w:val="00AB04BF"/>
    <w:rsid w:val="00AC000C"/>
    <w:rsid w:val="00AD64A3"/>
    <w:rsid w:val="00BC2B7F"/>
    <w:rsid w:val="00BE2D88"/>
    <w:rsid w:val="00C122B0"/>
    <w:rsid w:val="00C47DE0"/>
    <w:rsid w:val="00C57A75"/>
    <w:rsid w:val="00C64195"/>
    <w:rsid w:val="00C74E5B"/>
    <w:rsid w:val="00C9499B"/>
    <w:rsid w:val="00CD030E"/>
    <w:rsid w:val="00D06704"/>
    <w:rsid w:val="00D12733"/>
    <w:rsid w:val="00D27841"/>
    <w:rsid w:val="00D933EA"/>
    <w:rsid w:val="00DF5C57"/>
    <w:rsid w:val="00E203E8"/>
    <w:rsid w:val="00E34728"/>
    <w:rsid w:val="00E471DE"/>
    <w:rsid w:val="00EB59AF"/>
    <w:rsid w:val="00EF3067"/>
    <w:rsid w:val="00F117E5"/>
    <w:rsid w:val="00F24889"/>
    <w:rsid w:val="00F929BB"/>
    <w:rsid w:val="00F96A7C"/>
    <w:rsid w:val="00F9794B"/>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C7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0371">
      <w:bodyDiv w:val="1"/>
      <w:marLeft w:val="0"/>
      <w:marRight w:val="0"/>
      <w:marTop w:val="0"/>
      <w:marBottom w:val="0"/>
      <w:divBdr>
        <w:top w:val="none" w:sz="0" w:space="0" w:color="auto"/>
        <w:left w:val="none" w:sz="0" w:space="0" w:color="auto"/>
        <w:bottom w:val="none" w:sz="0" w:space="0" w:color="auto"/>
        <w:right w:val="none" w:sz="0" w:space="0" w:color="auto"/>
      </w:divBdr>
    </w:div>
    <w:div w:id="869100799">
      <w:bodyDiv w:val="1"/>
      <w:marLeft w:val="0"/>
      <w:marRight w:val="0"/>
      <w:marTop w:val="0"/>
      <w:marBottom w:val="0"/>
      <w:divBdr>
        <w:top w:val="none" w:sz="0" w:space="0" w:color="auto"/>
        <w:left w:val="none" w:sz="0" w:space="0" w:color="auto"/>
        <w:bottom w:val="none" w:sz="0" w:space="0" w:color="auto"/>
        <w:right w:val="none" w:sz="0" w:space="0" w:color="auto"/>
      </w:divBdr>
      <w:divsChild>
        <w:div w:id="1997107349">
          <w:marLeft w:val="0"/>
          <w:marRight w:val="0"/>
          <w:marTop w:val="0"/>
          <w:marBottom w:val="0"/>
          <w:divBdr>
            <w:top w:val="none" w:sz="0" w:space="0" w:color="auto"/>
            <w:left w:val="none" w:sz="0" w:space="0" w:color="auto"/>
            <w:bottom w:val="none" w:sz="0" w:space="0" w:color="auto"/>
            <w:right w:val="none" w:sz="0" w:space="0" w:color="auto"/>
          </w:divBdr>
        </w:div>
      </w:divsChild>
    </w:div>
    <w:div w:id="1167668387">
      <w:bodyDiv w:val="1"/>
      <w:marLeft w:val="0"/>
      <w:marRight w:val="0"/>
      <w:marTop w:val="0"/>
      <w:marBottom w:val="0"/>
      <w:divBdr>
        <w:top w:val="none" w:sz="0" w:space="0" w:color="auto"/>
        <w:left w:val="none" w:sz="0" w:space="0" w:color="auto"/>
        <w:bottom w:val="none" w:sz="0" w:space="0" w:color="auto"/>
        <w:right w:val="none" w:sz="0" w:space="0" w:color="auto"/>
      </w:divBdr>
    </w:div>
    <w:div w:id="1284262629">
      <w:bodyDiv w:val="1"/>
      <w:marLeft w:val="0"/>
      <w:marRight w:val="0"/>
      <w:marTop w:val="0"/>
      <w:marBottom w:val="0"/>
      <w:divBdr>
        <w:top w:val="none" w:sz="0" w:space="0" w:color="auto"/>
        <w:left w:val="none" w:sz="0" w:space="0" w:color="auto"/>
        <w:bottom w:val="none" w:sz="0" w:space="0" w:color="auto"/>
        <w:right w:val="none" w:sz="0" w:space="0" w:color="auto"/>
      </w:divBdr>
      <w:divsChild>
        <w:div w:id="207238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E04A-36F2-41F9-A7FE-C187389E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Arnalda</cp:lastModifiedBy>
  <cp:revision>2</cp:revision>
  <cp:lastPrinted>2019-02-18T13:08:00Z</cp:lastPrinted>
  <dcterms:created xsi:type="dcterms:W3CDTF">2019-03-01T12:20:00Z</dcterms:created>
  <dcterms:modified xsi:type="dcterms:W3CDTF">2019-03-01T12:20:00Z</dcterms:modified>
</cp:coreProperties>
</file>