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B8" w:rsidRDefault="002114B8"/>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STUDY PROGRAMME: Phonetics, with orientation for master of education in rhetoric</w:t>
            </w:r>
          </w:p>
          <w:p w:rsidR="002114B8" w:rsidRDefault="002114B8">
            <w:pPr>
              <w:spacing w:after="0" w:line="240" w:lineRule="auto"/>
              <w:rPr>
                <w:rFonts w:ascii="Calibri" w:hAnsi="Calibri" w:cs="Calibri"/>
              </w:rPr>
            </w:pPr>
          </w:p>
        </w:tc>
      </w:tr>
      <w:tr w:rsidR="002114B8">
        <w:tc>
          <w:tcPr>
            <w:tcW w:w="9397" w:type="dxa"/>
            <w:gridSpan w:val="3"/>
            <w:shd w:val="clear" w:color="auto" w:fill="auto"/>
          </w:tcPr>
          <w:p w:rsidR="002114B8" w:rsidRDefault="006349A6">
            <w:pPr>
              <w:spacing w:after="0" w:line="240" w:lineRule="auto"/>
              <w:rPr>
                <w:rFonts w:ascii="Calibri" w:hAnsi="Calibri" w:cs="Calibri"/>
                <w:color w:val="FF0000"/>
              </w:rPr>
            </w:pPr>
            <w:r>
              <w:rPr>
                <w:rFonts w:cs="Calibri"/>
              </w:rPr>
              <w:t>Level and Year</w:t>
            </w:r>
            <w:r>
              <w:rPr>
                <w:rStyle w:val="FootnoteAnchor"/>
                <w:rFonts w:cs="Calibri"/>
              </w:rPr>
              <w:footnoteReference w:id="1"/>
            </w:r>
            <w:r>
              <w:rPr>
                <w:rFonts w:cs="Calibri"/>
              </w:rPr>
              <w:t xml:space="preserve">: </w:t>
            </w:r>
            <w:r>
              <w:rPr>
                <w:rFonts w:cs="Calibri"/>
                <w:color w:val="FF0000"/>
              </w:rPr>
              <w:t xml:space="preserve"> </w:t>
            </w:r>
            <w:r>
              <w:rPr>
                <w:sz w:val="20"/>
                <w:szCs w:val="20"/>
              </w:rPr>
              <w:t xml:space="preserve"> MA; 1</w:t>
            </w:r>
            <w:r>
              <w:rPr>
                <w:sz w:val="20"/>
                <w:szCs w:val="20"/>
                <w:vertAlign w:val="superscript"/>
              </w:rPr>
              <w:t>st</w:t>
            </w:r>
            <w:r>
              <w:rPr>
                <w:sz w:val="20"/>
                <w:szCs w:val="20"/>
              </w:rPr>
              <w:t xml:space="preserve"> year</w:t>
            </w: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 xml:space="preserve">Course Title: Rhetorical genres </w:t>
            </w:r>
          </w:p>
          <w:p w:rsidR="002114B8" w:rsidRDefault="002114B8">
            <w:pPr>
              <w:spacing w:after="0" w:line="240" w:lineRule="auto"/>
              <w:rPr>
                <w:rFonts w:ascii="Calibri" w:hAnsi="Calibri" w:cs="Calibri"/>
              </w:rPr>
            </w:pP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Course Description:</w:t>
            </w:r>
          </w:p>
          <w:p w:rsidR="002114B8" w:rsidRDefault="006349A6">
            <w:pPr>
              <w:spacing w:after="0" w:line="240" w:lineRule="auto"/>
            </w:pPr>
            <w:r>
              <w:rPr>
                <w:rFonts w:cs="Calibri"/>
              </w:rPr>
              <w:t>Characteristics of certain rhetorical strategies (informing, instructing, interpretation, persuasion, argumentation, agitating, entertaining, brainstorming, transformation), as well as characteristics of rhetorical dialogue (debate, brainstorming, meeting,</w:t>
            </w:r>
            <w:r w:rsidR="00986BB8">
              <w:rPr>
                <w:rFonts w:cs="Calibri"/>
              </w:rPr>
              <w:t xml:space="preserve"> panel discussion, </w:t>
            </w:r>
            <w:r>
              <w:rPr>
                <w:rFonts w:cs="Calibri"/>
              </w:rPr>
              <w:t xml:space="preserve">interview) and monologue genres (informative speech, persuasive speech, speeches on special occasions) will be discussed. </w:t>
            </w:r>
            <w:r>
              <w:t xml:space="preserve">The aim of this course is to instruct speakers how to perform public speeches in different rhetorical situations according </w:t>
            </w:r>
            <w:r w:rsidR="00986BB8">
              <w:t xml:space="preserve">to the rules of strategies and </w:t>
            </w:r>
            <w:r>
              <w:t xml:space="preserve">rhetorical genre.  </w:t>
            </w:r>
          </w:p>
          <w:p w:rsidR="002114B8" w:rsidRDefault="002114B8">
            <w:pPr>
              <w:spacing w:after="0" w:line="240" w:lineRule="auto"/>
              <w:rPr>
                <w:rFonts w:ascii="Calibri" w:hAnsi="Calibri" w:cs="Calibri"/>
              </w:rPr>
            </w:pPr>
          </w:p>
        </w:tc>
      </w:tr>
      <w:tr w:rsidR="002114B8">
        <w:tc>
          <w:tcPr>
            <w:tcW w:w="9397" w:type="dxa"/>
            <w:gridSpan w:val="3"/>
            <w:shd w:val="clear" w:color="auto" w:fill="auto"/>
          </w:tcPr>
          <w:p w:rsidR="002114B8" w:rsidRDefault="006349A6">
            <w:pPr>
              <w:spacing w:after="0" w:line="240" w:lineRule="auto"/>
              <w:rPr>
                <w:rFonts w:ascii="Calibri" w:hAnsi="Calibri" w:cs="Calibri"/>
                <w:color w:val="FF0000"/>
              </w:rPr>
            </w:pPr>
            <w:r>
              <w:rPr>
                <w:rFonts w:cs="Calibri"/>
              </w:rPr>
              <w:t>Semester</w:t>
            </w:r>
            <w:r>
              <w:rPr>
                <w:rStyle w:val="FootnoteAnchor"/>
                <w:rFonts w:cs="Calibri"/>
              </w:rPr>
              <w:footnoteReference w:id="2"/>
            </w:r>
            <w:r>
              <w:rPr>
                <w:rFonts w:cs="Calibri"/>
              </w:rPr>
              <w:t>:</w:t>
            </w:r>
            <w:r>
              <w:rPr>
                <w:rFonts w:cs="Calibri"/>
                <w:color w:val="FF0000"/>
              </w:rPr>
              <w:t xml:space="preserve"> </w:t>
            </w:r>
            <w:r>
              <w:t xml:space="preserve"> </w:t>
            </w:r>
            <w:r>
              <w:rPr>
                <w:rFonts w:cs="Calibri"/>
              </w:rPr>
              <w:t>Summer semester</w:t>
            </w: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 xml:space="preserve">Lecturer(s)/Teacher(s): Elenmari Pletikos Olof </w:t>
            </w:r>
          </w:p>
          <w:p w:rsidR="002114B8" w:rsidRDefault="002114B8">
            <w:pPr>
              <w:spacing w:after="0" w:line="240" w:lineRule="auto"/>
              <w:rPr>
                <w:rFonts w:ascii="Calibri" w:hAnsi="Calibri" w:cs="Calibri"/>
              </w:rPr>
            </w:pP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Teaching Language (regular)</w:t>
            </w:r>
            <w:r>
              <w:rPr>
                <w:rStyle w:val="FootnoteAnchor"/>
                <w:rFonts w:cs="Calibri"/>
              </w:rPr>
              <w:footnoteReference w:id="3"/>
            </w:r>
            <w:r>
              <w:rPr>
                <w:rFonts w:cs="Calibri"/>
              </w:rPr>
              <w:t>: Croatian</w:t>
            </w:r>
          </w:p>
        </w:tc>
      </w:tr>
      <w:tr w:rsidR="002114B8">
        <w:tc>
          <w:tcPr>
            <w:tcW w:w="9397" w:type="dxa"/>
            <w:gridSpan w:val="3"/>
            <w:shd w:val="clear" w:color="auto" w:fill="auto"/>
          </w:tcPr>
          <w:p w:rsidR="002114B8" w:rsidRDefault="006349A6">
            <w:pPr>
              <w:spacing w:after="0" w:line="240" w:lineRule="auto"/>
            </w:pPr>
            <w:r>
              <w:rPr>
                <w:rFonts w:cs="Calibri"/>
              </w:rPr>
              <w:t>Teaching Methods (regular):</w:t>
            </w:r>
            <w:r>
              <w:rPr>
                <w:rStyle w:val="FootnoteAnchor"/>
                <w:rFonts w:cs="Calibri"/>
              </w:rPr>
              <w:footnoteReference w:id="4"/>
            </w:r>
            <w:r>
              <w:rPr>
                <w:rFonts w:cs="Calibri"/>
              </w:rPr>
              <w:t xml:space="preserve"> </w:t>
            </w:r>
            <w:r>
              <w:t xml:space="preserve"> </w:t>
            </w:r>
            <w:r>
              <w:rPr>
                <w:rFonts w:cs="Calibri"/>
              </w:rPr>
              <w:t>Direct instruction: teaching through seminars and exercises; Presentations; Classroom discussion; E-Learning (Omega)</w:t>
            </w:r>
          </w:p>
          <w:p w:rsidR="002114B8" w:rsidRDefault="002114B8">
            <w:pPr>
              <w:spacing w:after="0" w:line="240" w:lineRule="auto"/>
              <w:rPr>
                <w:rFonts w:ascii="Calibri" w:hAnsi="Calibri" w:cs="Calibri"/>
              </w:rPr>
            </w:pPr>
          </w:p>
        </w:tc>
      </w:tr>
      <w:tr w:rsidR="002114B8">
        <w:tc>
          <w:tcPr>
            <w:tcW w:w="3132" w:type="dxa"/>
            <w:shd w:val="clear" w:color="auto" w:fill="auto"/>
          </w:tcPr>
          <w:p w:rsidR="002114B8" w:rsidRDefault="006349A6">
            <w:pPr>
              <w:spacing w:after="0" w:line="240" w:lineRule="auto"/>
              <w:rPr>
                <w:rFonts w:ascii="Calibri" w:hAnsi="Calibri" w:cs="Calibri"/>
              </w:rPr>
            </w:pPr>
            <w:r>
              <w:rPr>
                <w:rFonts w:cs="Calibri"/>
              </w:rPr>
              <w:t>Teaching:</w:t>
            </w:r>
          </w:p>
        </w:tc>
        <w:tc>
          <w:tcPr>
            <w:tcW w:w="3132" w:type="dxa"/>
            <w:shd w:val="clear" w:color="auto" w:fill="auto"/>
          </w:tcPr>
          <w:p w:rsidR="002114B8" w:rsidRDefault="006349A6">
            <w:pPr>
              <w:spacing w:after="0" w:line="240" w:lineRule="auto"/>
              <w:rPr>
                <w:rFonts w:ascii="Calibri" w:hAnsi="Calibri" w:cs="Calibri"/>
              </w:rPr>
            </w:pPr>
            <w:r>
              <w:rPr>
                <w:rFonts w:cs="Calibri"/>
              </w:rPr>
              <w:t>Weekly (hours) 4</w:t>
            </w:r>
          </w:p>
        </w:tc>
        <w:tc>
          <w:tcPr>
            <w:tcW w:w="3133" w:type="dxa"/>
            <w:shd w:val="clear" w:color="auto" w:fill="auto"/>
          </w:tcPr>
          <w:p w:rsidR="002114B8" w:rsidRDefault="006349A6">
            <w:pPr>
              <w:spacing w:after="0" w:line="240" w:lineRule="auto"/>
              <w:rPr>
                <w:rFonts w:ascii="Calibri" w:hAnsi="Calibri" w:cs="Calibri"/>
              </w:rPr>
            </w:pPr>
            <w:r>
              <w:rPr>
                <w:rFonts w:cs="Calibri"/>
              </w:rPr>
              <w:t>Semester (hours) 60</w:t>
            </w:r>
          </w:p>
          <w:p w:rsidR="002114B8" w:rsidRDefault="002114B8">
            <w:pPr>
              <w:spacing w:after="0" w:line="240" w:lineRule="auto"/>
              <w:rPr>
                <w:rFonts w:ascii="Calibri" w:hAnsi="Calibri" w:cs="Calibri"/>
              </w:rPr>
            </w:pPr>
          </w:p>
        </w:tc>
      </w:tr>
      <w:tr w:rsidR="002114B8">
        <w:tc>
          <w:tcPr>
            <w:tcW w:w="3132" w:type="dxa"/>
            <w:shd w:val="clear" w:color="auto" w:fill="auto"/>
          </w:tcPr>
          <w:p w:rsidR="002114B8" w:rsidRDefault="006349A6">
            <w:pPr>
              <w:spacing w:after="0" w:line="240" w:lineRule="auto"/>
              <w:rPr>
                <w:rFonts w:ascii="Calibri" w:hAnsi="Calibri" w:cs="Calibri"/>
              </w:rPr>
            </w:pPr>
            <w:r>
              <w:rPr>
                <w:rFonts w:cs="Calibri"/>
              </w:rPr>
              <w:t>Lectures:</w:t>
            </w:r>
          </w:p>
        </w:tc>
        <w:tc>
          <w:tcPr>
            <w:tcW w:w="3132" w:type="dxa"/>
            <w:shd w:val="clear" w:color="auto" w:fill="auto"/>
          </w:tcPr>
          <w:p w:rsidR="002114B8" w:rsidRDefault="006349A6">
            <w:pPr>
              <w:spacing w:after="0" w:line="240" w:lineRule="auto"/>
              <w:rPr>
                <w:rFonts w:ascii="Calibri" w:hAnsi="Calibri" w:cs="Calibri"/>
              </w:rPr>
            </w:pPr>
            <w:r>
              <w:rPr>
                <w:rFonts w:cs="Calibri"/>
              </w:rPr>
              <w:t>0</w:t>
            </w:r>
          </w:p>
        </w:tc>
        <w:tc>
          <w:tcPr>
            <w:tcW w:w="3133" w:type="dxa"/>
            <w:shd w:val="clear" w:color="auto" w:fill="auto"/>
          </w:tcPr>
          <w:p w:rsidR="002114B8" w:rsidRDefault="006349A6">
            <w:pPr>
              <w:spacing w:after="0" w:line="240" w:lineRule="auto"/>
              <w:rPr>
                <w:rFonts w:ascii="Calibri" w:hAnsi="Calibri" w:cs="Calibri"/>
              </w:rPr>
            </w:pPr>
            <w:r>
              <w:rPr>
                <w:rFonts w:cs="Calibri"/>
              </w:rPr>
              <w:t>0</w:t>
            </w:r>
          </w:p>
        </w:tc>
      </w:tr>
      <w:tr w:rsidR="002114B8">
        <w:tc>
          <w:tcPr>
            <w:tcW w:w="3132" w:type="dxa"/>
            <w:shd w:val="clear" w:color="auto" w:fill="auto"/>
          </w:tcPr>
          <w:p w:rsidR="002114B8" w:rsidRDefault="006349A6">
            <w:pPr>
              <w:spacing w:after="0" w:line="240" w:lineRule="auto"/>
              <w:rPr>
                <w:rFonts w:ascii="Calibri" w:hAnsi="Calibri" w:cs="Calibri"/>
              </w:rPr>
            </w:pPr>
            <w:r>
              <w:rPr>
                <w:rFonts w:cs="Calibri"/>
              </w:rPr>
              <w:t>Exercises:</w:t>
            </w:r>
          </w:p>
        </w:tc>
        <w:tc>
          <w:tcPr>
            <w:tcW w:w="3132" w:type="dxa"/>
            <w:shd w:val="clear" w:color="auto" w:fill="auto"/>
          </w:tcPr>
          <w:p w:rsidR="002114B8" w:rsidRDefault="006349A6">
            <w:pPr>
              <w:spacing w:after="0" w:line="240" w:lineRule="auto"/>
              <w:rPr>
                <w:rFonts w:ascii="Calibri" w:hAnsi="Calibri" w:cs="Calibri"/>
              </w:rPr>
            </w:pPr>
            <w:r>
              <w:rPr>
                <w:rFonts w:cs="Calibri"/>
              </w:rPr>
              <w:t>2</w:t>
            </w:r>
          </w:p>
        </w:tc>
        <w:tc>
          <w:tcPr>
            <w:tcW w:w="3133" w:type="dxa"/>
            <w:shd w:val="clear" w:color="auto" w:fill="auto"/>
          </w:tcPr>
          <w:p w:rsidR="002114B8" w:rsidRDefault="006349A6">
            <w:pPr>
              <w:spacing w:after="0" w:line="240" w:lineRule="auto"/>
              <w:rPr>
                <w:rFonts w:ascii="Calibri" w:hAnsi="Calibri" w:cs="Calibri"/>
              </w:rPr>
            </w:pPr>
            <w:r>
              <w:rPr>
                <w:rFonts w:cs="Calibri"/>
              </w:rPr>
              <w:t>30</w:t>
            </w:r>
          </w:p>
        </w:tc>
      </w:tr>
      <w:tr w:rsidR="002114B8">
        <w:tc>
          <w:tcPr>
            <w:tcW w:w="3132" w:type="dxa"/>
            <w:shd w:val="clear" w:color="auto" w:fill="auto"/>
          </w:tcPr>
          <w:p w:rsidR="002114B8" w:rsidRDefault="006349A6">
            <w:pPr>
              <w:spacing w:after="0" w:line="240" w:lineRule="auto"/>
              <w:rPr>
                <w:rFonts w:ascii="Calibri" w:hAnsi="Calibri" w:cs="Calibri"/>
              </w:rPr>
            </w:pPr>
            <w:r>
              <w:rPr>
                <w:rFonts w:cs="Calibri"/>
              </w:rPr>
              <w:t>Seminars:</w:t>
            </w:r>
          </w:p>
        </w:tc>
        <w:tc>
          <w:tcPr>
            <w:tcW w:w="3132" w:type="dxa"/>
            <w:shd w:val="clear" w:color="auto" w:fill="auto"/>
          </w:tcPr>
          <w:p w:rsidR="002114B8" w:rsidRDefault="006349A6">
            <w:pPr>
              <w:spacing w:after="0" w:line="240" w:lineRule="auto"/>
              <w:rPr>
                <w:rFonts w:ascii="Calibri" w:hAnsi="Calibri" w:cs="Calibri"/>
              </w:rPr>
            </w:pPr>
            <w:r>
              <w:rPr>
                <w:rFonts w:cs="Calibri"/>
              </w:rPr>
              <w:t>2</w:t>
            </w:r>
          </w:p>
        </w:tc>
        <w:tc>
          <w:tcPr>
            <w:tcW w:w="3133" w:type="dxa"/>
            <w:shd w:val="clear" w:color="auto" w:fill="auto"/>
          </w:tcPr>
          <w:p w:rsidR="002114B8" w:rsidRDefault="006349A6">
            <w:pPr>
              <w:spacing w:after="0" w:line="240" w:lineRule="auto"/>
              <w:rPr>
                <w:rFonts w:ascii="Calibri" w:hAnsi="Calibri" w:cs="Calibri"/>
              </w:rPr>
            </w:pPr>
            <w:r>
              <w:rPr>
                <w:rFonts w:cs="Calibri"/>
              </w:rPr>
              <w:t>30</w:t>
            </w: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ECTS: 5</w:t>
            </w: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Teaching language and level</w:t>
            </w:r>
            <w:r>
              <w:rPr>
                <w:rStyle w:val="FootnoteAnchor"/>
                <w:rFonts w:cs="Calibri"/>
              </w:rPr>
              <w:footnoteReference w:id="5"/>
            </w:r>
            <w:r>
              <w:rPr>
                <w:rFonts w:cs="Calibri"/>
              </w:rPr>
              <w:t xml:space="preserve">  for guest (exchange) students: Croatian</w:t>
            </w:r>
          </w:p>
          <w:p w:rsidR="002114B8" w:rsidRDefault="002114B8">
            <w:pPr>
              <w:spacing w:after="0" w:line="240" w:lineRule="auto"/>
              <w:rPr>
                <w:rFonts w:ascii="Calibri" w:hAnsi="Calibri" w:cs="Calibri"/>
              </w:rPr>
            </w:pP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Teaching Methods</w:t>
            </w:r>
            <w:r>
              <w:rPr>
                <w:rStyle w:val="FootnoteAnchor"/>
                <w:rFonts w:cs="Calibri"/>
              </w:rPr>
              <w:footnoteReference w:id="6"/>
            </w:r>
            <w:r>
              <w:rPr>
                <w:rFonts w:cs="Calibri"/>
              </w:rPr>
              <w:t xml:space="preserve"> for guest (exchange) students: L1</w:t>
            </w:r>
          </w:p>
          <w:p w:rsidR="002114B8" w:rsidRDefault="002114B8">
            <w:pPr>
              <w:spacing w:after="0" w:line="240" w:lineRule="auto"/>
              <w:rPr>
                <w:rFonts w:ascii="Calibri" w:hAnsi="Calibri" w:cs="Calibri"/>
              </w:rPr>
            </w:pP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xml:space="preserve">: </w:t>
            </w:r>
            <w:r>
              <w:t xml:space="preserve"> </w:t>
            </w:r>
            <w:r>
              <w:rPr>
                <w:rFonts w:cs="Calibri"/>
              </w:rPr>
              <w:t>Class attendance, Preliminary exam, Seminar paper, Practical work</w:t>
            </w:r>
          </w:p>
          <w:p w:rsidR="002114B8" w:rsidRDefault="006349A6">
            <w:pPr>
              <w:spacing w:after="0" w:line="240" w:lineRule="auto"/>
            </w:pPr>
            <w:r>
              <w:rPr>
                <w:rFonts w:cs="Calibri"/>
              </w:rPr>
              <w:lastRenderedPageBreak/>
              <w:t>During the semester the student's work is continuously monitored and evaluated: attending classes and active participation; giving speeches; preparation for debate and meeting, two tests; written seminar; presentation of a seminar. Evaluation is based on continuous student work (1/3 on the tests, 1/3 on the written seminar, 1/3 on the performance speeches and participation dialogues and discussions).</w:t>
            </w: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lastRenderedPageBreak/>
              <w:t xml:space="preserve">Learning Outcomes: </w:t>
            </w:r>
          </w:p>
          <w:p w:rsidR="002114B8" w:rsidRDefault="006349A6">
            <w:pPr>
              <w:pStyle w:val="ListParagraph"/>
              <w:numPr>
                <w:ilvl w:val="0"/>
                <w:numId w:val="2"/>
              </w:numPr>
              <w:spacing w:after="0" w:line="240" w:lineRule="auto"/>
            </w:pPr>
            <w:r>
              <w:rPr>
                <w:rFonts w:cs="Calibri"/>
              </w:rPr>
              <w:t>Explain basic debate structure, the roles of the speakers, building the basic argument structure, organizing a debate, and explain debate scoring.</w:t>
            </w:r>
          </w:p>
          <w:p w:rsidR="002114B8" w:rsidRDefault="006349A6">
            <w:pPr>
              <w:pStyle w:val="ListParagraph"/>
              <w:numPr>
                <w:ilvl w:val="0"/>
                <w:numId w:val="2"/>
              </w:numPr>
              <w:spacing w:after="0" w:line="240" w:lineRule="auto"/>
            </w:pPr>
            <w:r>
              <w:rPr>
                <w:rFonts w:cs="Calibri"/>
              </w:rPr>
              <w:t>Give instructions for organizing and running a successful meeting.</w:t>
            </w:r>
          </w:p>
          <w:p w:rsidR="002114B8" w:rsidRDefault="006349A6">
            <w:pPr>
              <w:pStyle w:val="ListParagraph"/>
              <w:numPr>
                <w:ilvl w:val="0"/>
                <w:numId w:val="2"/>
              </w:numPr>
              <w:spacing w:after="0" w:line="240" w:lineRule="auto"/>
              <w:rPr>
                <w:rFonts w:ascii="Calibri" w:hAnsi="Calibri" w:cs="Calibri"/>
              </w:rPr>
            </w:pPr>
            <w:r>
              <w:rPr>
                <w:rFonts w:cs="Calibri"/>
              </w:rPr>
              <w:t>Explain and apply the rules of brainstorming and name some other problem solving creativity techniques.</w:t>
            </w:r>
          </w:p>
          <w:p w:rsidR="002114B8" w:rsidRDefault="006349A6">
            <w:pPr>
              <w:pStyle w:val="ListParagraph"/>
              <w:numPr>
                <w:ilvl w:val="0"/>
                <w:numId w:val="2"/>
              </w:numPr>
              <w:spacing w:after="0" w:line="240" w:lineRule="auto"/>
              <w:rPr>
                <w:rFonts w:ascii="Calibri" w:hAnsi="Calibri" w:cs="Calibri"/>
              </w:rPr>
            </w:pPr>
            <w:r>
              <w:rPr>
                <w:rFonts w:cs="Calibri"/>
              </w:rPr>
              <w:t>Define negotiation, explain negotiation zone and t</w:t>
            </w:r>
            <w:r w:rsidR="00986BB8">
              <w:rPr>
                <w:rFonts w:cs="Calibri"/>
              </w:rPr>
              <w:t xml:space="preserve">he zone of possible agreement, </w:t>
            </w:r>
            <w:r>
              <w:rPr>
                <w:rFonts w:cs="Calibri"/>
              </w:rPr>
              <w:t>name negotiating strategies and tactics.</w:t>
            </w:r>
          </w:p>
          <w:p w:rsidR="002114B8" w:rsidRDefault="006349A6">
            <w:pPr>
              <w:pStyle w:val="ListParagraph"/>
              <w:numPr>
                <w:ilvl w:val="0"/>
                <w:numId w:val="2"/>
              </w:numPr>
              <w:spacing w:after="0" w:line="240" w:lineRule="auto"/>
              <w:rPr>
                <w:rFonts w:ascii="Calibri" w:hAnsi="Calibri" w:cs="Calibri"/>
              </w:rPr>
            </w:pPr>
            <w:r>
              <w:rPr>
                <w:rFonts w:cs="Calibri"/>
              </w:rPr>
              <w:t>Name interview types, describe rules of conducting the interview, provide guidelines for interviewing, and identify and correct badly crafted questions.</w:t>
            </w:r>
          </w:p>
          <w:p w:rsidR="002114B8" w:rsidRDefault="006349A6">
            <w:pPr>
              <w:pStyle w:val="ListParagraph"/>
              <w:numPr>
                <w:ilvl w:val="0"/>
                <w:numId w:val="2"/>
              </w:numPr>
              <w:spacing w:after="0" w:line="240" w:lineRule="auto"/>
              <w:rPr>
                <w:rFonts w:ascii="Calibri" w:hAnsi="Calibri" w:cs="Calibri"/>
              </w:rPr>
            </w:pPr>
            <w:r>
              <w:rPr>
                <w:rFonts w:cs="Calibri"/>
              </w:rPr>
              <w:t>Provide instructions for composing and performing various types of ceremonial speeches, identifying and correcting the errors that can appear.</w:t>
            </w:r>
          </w:p>
          <w:p w:rsidR="002114B8" w:rsidRDefault="006349A6">
            <w:pPr>
              <w:pStyle w:val="ListParagraph"/>
              <w:numPr>
                <w:ilvl w:val="0"/>
                <w:numId w:val="2"/>
              </w:numPr>
              <w:spacing w:after="0" w:line="240" w:lineRule="auto"/>
            </w:pPr>
            <w:proofErr w:type="spellStart"/>
            <w:r>
              <w:rPr>
                <w:rFonts w:cs="Calibri"/>
              </w:rPr>
              <w:t>Analyse</w:t>
            </w:r>
            <w:proofErr w:type="spellEnd"/>
            <w:r>
              <w:rPr>
                <w:rFonts w:cs="Calibri"/>
              </w:rPr>
              <w:t xml:space="preserve"> and evaluate the structure and other rhetorical characteristic of various monologues and dialogical rhetorical genres: some journalistic genres, speeches in parliament, speeches in educational institutions, and speeches of scientific and professional presentations.</w:t>
            </w:r>
          </w:p>
          <w:p w:rsidR="002114B8" w:rsidRDefault="006349A6">
            <w:pPr>
              <w:pStyle w:val="ListParagraph"/>
              <w:numPr>
                <w:ilvl w:val="0"/>
                <w:numId w:val="2"/>
              </w:numPr>
              <w:spacing w:after="0" w:line="240" w:lineRule="auto"/>
              <w:rPr>
                <w:rFonts w:ascii="Calibri" w:hAnsi="Calibri" w:cs="Calibri"/>
              </w:rPr>
            </w:pPr>
            <w:r>
              <w:rPr>
                <w:rFonts w:cs="Calibri"/>
              </w:rPr>
              <w:t>Find relevant literature and critically use the literature when writing a professional or scientific paper.</w:t>
            </w:r>
          </w:p>
          <w:p w:rsidR="002114B8" w:rsidRDefault="002114B8">
            <w:pPr>
              <w:spacing w:after="0" w:line="240" w:lineRule="auto"/>
              <w:rPr>
                <w:rFonts w:ascii="Calibri" w:hAnsi="Calibri" w:cs="Calibri"/>
              </w:rPr>
            </w:pPr>
          </w:p>
        </w:tc>
      </w:tr>
      <w:tr w:rsidR="002114B8">
        <w:tc>
          <w:tcPr>
            <w:tcW w:w="9397" w:type="dxa"/>
            <w:gridSpan w:val="3"/>
            <w:shd w:val="clear" w:color="auto" w:fill="auto"/>
          </w:tcPr>
          <w:p w:rsidR="002114B8" w:rsidRDefault="006349A6">
            <w:pPr>
              <w:spacing w:after="0" w:line="240" w:lineRule="auto"/>
              <w:rPr>
                <w:rFonts w:ascii="Calibri" w:hAnsi="Calibri" w:cs="Calibri"/>
              </w:rPr>
            </w:pPr>
            <w:r>
              <w:rPr>
                <w:rFonts w:cs="Calibri"/>
              </w:rPr>
              <w:t xml:space="preserve">Literature: </w:t>
            </w:r>
          </w:p>
          <w:p w:rsidR="002114B8" w:rsidRDefault="006349A6">
            <w:pPr>
              <w:pStyle w:val="ListParagraph"/>
              <w:numPr>
                <w:ilvl w:val="0"/>
                <w:numId w:val="1"/>
              </w:numPr>
              <w:spacing w:after="0" w:line="240" w:lineRule="auto"/>
              <w:rPr>
                <w:rFonts w:ascii="Calibri" w:hAnsi="Calibri" w:cs="Calibri"/>
              </w:rPr>
            </w:pPr>
            <w:r>
              <w:rPr>
                <w:rFonts w:cs="Calibri"/>
              </w:rPr>
              <w:t xml:space="preserve">Barker, A. (2011). How to Manage Meetings: Improve Problem Solving; Encourage Participation; Keep Control (Vol. 27). </w:t>
            </w:r>
            <w:proofErr w:type="spellStart"/>
            <w:r>
              <w:rPr>
                <w:rFonts w:cs="Calibri"/>
              </w:rPr>
              <w:t>Kogan</w:t>
            </w:r>
            <w:proofErr w:type="spellEnd"/>
            <w:r>
              <w:rPr>
                <w:rFonts w:cs="Calibri"/>
              </w:rPr>
              <w:t xml:space="preserve"> Page Publishers.  </w:t>
            </w:r>
          </w:p>
          <w:p w:rsidR="002114B8" w:rsidRDefault="006349A6">
            <w:pPr>
              <w:pStyle w:val="ListParagraph"/>
              <w:numPr>
                <w:ilvl w:val="0"/>
                <w:numId w:val="1"/>
              </w:numPr>
              <w:spacing w:after="0" w:line="240" w:lineRule="auto"/>
              <w:rPr>
                <w:rFonts w:ascii="Calibri" w:hAnsi="Calibri" w:cs="Calibri"/>
              </w:rPr>
            </w:pPr>
            <w:proofErr w:type="spellStart"/>
            <w:r>
              <w:rPr>
                <w:rFonts w:cs="Calibri"/>
              </w:rPr>
              <w:t>Breakwell</w:t>
            </w:r>
            <w:proofErr w:type="spellEnd"/>
            <w:r>
              <w:rPr>
                <w:rFonts w:cs="Calibri"/>
              </w:rPr>
              <w:t>, G. M. (1990). Interviewing. Leicester: British Psychological Society.</w:t>
            </w:r>
          </w:p>
          <w:p w:rsidR="002114B8" w:rsidRDefault="006349A6">
            <w:pPr>
              <w:pStyle w:val="ListParagraph"/>
              <w:numPr>
                <w:ilvl w:val="0"/>
                <w:numId w:val="1"/>
              </w:numPr>
              <w:spacing w:after="0" w:line="240" w:lineRule="auto"/>
              <w:rPr>
                <w:rFonts w:ascii="Calibri" w:hAnsi="Calibri" w:cs="Calibri"/>
              </w:rPr>
            </w:pPr>
            <w:proofErr w:type="spellStart"/>
            <w:r>
              <w:rPr>
                <w:rFonts w:cs="Calibri"/>
              </w:rPr>
              <w:t>Broda-Bahm</w:t>
            </w:r>
            <w:proofErr w:type="spellEnd"/>
            <w:r>
              <w:rPr>
                <w:rFonts w:cs="Calibri"/>
              </w:rPr>
              <w:t xml:space="preserve">, K., </w:t>
            </w:r>
            <w:proofErr w:type="spellStart"/>
            <w:r>
              <w:rPr>
                <w:rFonts w:cs="Calibri"/>
              </w:rPr>
              <w:t>Kempf</w:t>
            </w:r>
            <w:proofErr w:type="spellEnd"/>
            <w:r>
              <w:rPr>
                <w:rFonts w:cs="Calibri"/>
              </w:rPr>
              <w:t xml:space="preserve">, D. i Driscoll, W. (2004). Argument and audience: presenting debates in public settings. New York: International Debate Education Association. </w:t>
            </w:r>
          </w:p>
          <w:p w:rsidR="002114B8" w:rsidRDefault="006349A6">
            <w:pPr>
              <w:pStyle w:val="ListParagraph"/>
              <w:numPr>
                <w:ilvl w:val="0"/>
                <w:numId w:val="1"/>
              </w:numPr>
              <w:spacing w:after="0" w:line="240" w:lineRule="auto"/>
              <w:rPr>
                <w:rFonts w:ascii="Calibri" w:hAnsi="Calibri" w:cs="Calibri"/>
              </w:rPr>
            </w:pPr>
            <w:r>
              <w:rPr>
                <w:rFonts w:cs="Calibri"/>
              </w:rPr>
              <w:t>Kelley, Jr., Joseph J. (1980). Speech Writing: A handbook for All Occasions. New York: New American Library.</w:t>
            </w:r>
          </w:p>
          <w:p w:rsidR="002114B8" w:rsidRDefault="006349A6">
            <w:pPr>
              <w:pStyle w:val="ListParagraph"/>
              <w:numPr>
                <w:ilvl w:val="0"/>
                <w:numId w:val="1"/>
              </w:numPr>
              <w:spacing w:after="0" w:line="240" w:lineRule="auto"/>
              <w:rPr>
                <w:rFonts w:ascii="Calibri" w:hAnsi="Calibri" w:cs="Calibri"/>
              </w:rPr>
            </w:pPr>
            <w:r>
              <w:rPr>
                <w:rFonts w:cs="Calibri"/>
              </w:rPr>
              <w:t xml:space="preserve">Lucas, Stephen E. (1998). The art of public speaking. Boston Mass.: McGraw Hill. </w:t>
            </w:r>
          </w:p>
          <w:p w:rsidR="002114B8" w:rsidRDefault="006349A6">
            <w:pPr>
              <w:pStyle w:val="ListParagraph"/>
              <w:numPr>
                <w:ilvl w:val="0"/>
                <w:numId w:val="1"/>
              </w:numPr>
              <w:spacing w:after="0" w:line="240" w:lineRule="auto"/>
              <w:rPr>
                <w:rFonts w:ascii="Calibri" w:hAnsi="Calibri" w:cs="Calibri"/>
              </w:rPr>
            </w:pPr>
            <w:r>
              <w:t xml:space="preserve">Nierenberg, J., &amp; Ross, I. S. (2003). </w:t>
            </w:r>
            <w:r>
              <w:rPr>
                <w:iCs/>
              </w:rPr>
              <w:t>The secrets of successful negotiation</w:t>
            </w:r>
            <w:r>
              <w:t>. Duncan Baird Publishers.</w:t>
            </w:r>
          </w:p>
          <w:p w:rsidR="002114B8" w:rsidRDefault="006349A6">
            <w:pPr>
              <w:pStyle w:val="ListParagraph"/>
              <w:numPr>
                <w:ilvl w:val="0"/>
                <w:numId w:val="1"/>
              </w:numPr>
              <w:spacing w:after="0" w:line="240" w:lineRule="auto"/>
              <w:rPr>
                <w:rFonts w:ascii="Calibri" w:hAnsi="Calibri" w:cs="Calibri"/>
              </w:rPr>
            </w:pPr>
            <w:proofErr w:type="spellStart"/>
            <w:r>
              <w:rPr>
                <w:rFonts w:cs="Calibri"/>
              </w:rPr>
              <w:t>Historisches</w:t>
            </w:r>
            <w:proofErr w:type="spellEnd"/>
            <w:r>
              <w:rPr>
                <w:rFonts w:cs="Calibri"/>
              </w:rPr>
              <w:t xml:space="preserve"> </w:t>
            </w:r>
            <w:proofErr w:type="spellStart"/>
            <w:r>
              <w:rPr>
                <w:rFonts w:cs="Calibri"/>
              </w:rPr>
              <w:t>Wörterbuch</w:t>
            </w:r>
            <w:proofErr w:type="spellEnd"/>
            <w:r>
              <w:rPr>
                <w:rFonts w:cs="Calibri"/>
              </w:rPr>
              <w:t xml:space="preserve"> der </w:t>
            </w:r>
            <w:proofErr w:type="spellStart"/>
            <w:r>
              <w:rPr>
                <w:rFonts w:cs="Calibri"/>
              </w:rPr>
              <w:t>Rhetorik</w:t>
            </w:r>
            <w:proofErr w:type="spellEnd"/>
            <w:r>
              <w:rPr>
                <w:rFonts w:cs="Calibri"/>
              </w:rPr>
              <w:t xml:space="preserve">. Band I-IX. (ed. G. </w:t>
            </w:r>
            <w:proofErr w:type="spellStart"/>
            <w:r>
              <w:rPr>
                <w:rFonts w:cs="Calibri"/>
              </w:rPr>
              <w:t>Ueding</w:t>
            </w:r>
            <w:proofErr w:type="spellEnd"/>
            <w:r>
              <w:rPr>
                <w:rFonts w:cs="Calibri"/>
              </w:rPr>
              <w:t xml:space="preserve"> et al.) </w:t>
            </w:r>
            <w:proofErr w:type="spellStart"/>
            <w:r>
              <w:rPr>
                <w:rFonts w:cs="Calibri"/>
              </w:rPr>
              <w:t>Tübingen</w:t>
            </w:r>
            <w:proofErr w:type="spellEnd"/>
            <w:r>
              <w:rPr>
                <w:rFonts w:cs="Calibri"/>
              </w:rPr>
              <w:t xml:space="preserve">: Max Niemeyer </w:t>
            </w:r>
            <w:proofErr w:type="spellStart"/>
            <w:r>
              <w:rPr>
                <w:rFonts w:cs="Calibri"/>
              </w:rPr>
              <w:t>Verlag</w:t>
            </w:r>
            <w:proofErr w:type="spellEnd"/>
            <w:r>
              <w:rPr>
                <w:rFonts w:cs="Calibri"/>
              </w:rPr>
              <w:t xml:space="preserve"> (1992-2009). </w:t>
            </w:r>
          </w:p>
          <w:p w:rsidR="002114B8" w:rsidRDefault="006349A6">
            <w:pPr>
              <w:pStyle w:val="ListParagraph"/>
              <w:numPr>
                <w:ilvl w:val="0"/>
                <w:numId w:val="1"/>
              </w:numPr>
              <w:spacing w:after="0" w:line="240" w:lineRule="auto"/>
              <w:rPr>
                <w:rFonts w:ascii="Calibri" w:hAnsi="Calibri" w:cs="Calibri"/>
              </w:rPr>
            </w:pPr>
            <w:r>
              <w:rPr>
                <w:rFonts w:cs="Calibri"/>
              </w:rPr>
              <w:t xml:space="preserve">Encyclopedia of Rhetoric (Thomas O. Sloane, editor in chief). Oxford; New </w:t>
            </w:r>
            <w:proofErr w:type="gramStart"/>
            <w:r>
              <w:rPr>
                <w:rFonts w:cs="Calibri"/>
              </w:rPr>
              <w:t>York :</w:t>
            </w:r>
            <w:proofErr w:type="gramEnd"/>
            <w:r>
              <w:rPr>
                <w:rFonts w:cs="Calibri"/>
              </w:rPr>
              <w:t xml:space="preserve"> Oxford University Press, 2001. </w:t>
            </w:r>
          </w:p>
          <w:p w:rsidR="002114B8" w:rsidRDefault="002114B8">
            <w:pPr>
              <w:spacing w:after="0" w:line="240" w:lineRule="auto"/>
              <w:rPr>
                <w:rFonts w:ascii="Calibri" w:hAnsi="Calibri" w:cs="Calibri"/>
              </w:rPr>
            </w:pPr>
          </w:p>
        </w:tc>
      </w:tr>
    </w:tbl>
    <w:p w:rsidR="002114B8" w:rsidRDefault="002114B8">
      <w:bookmarkStart w:id="0" w:name="_GoBack"/>
      <w:bookmarkEnd w:id="0"/>
    </w:p>
    <w:sectPr w:rsidR="002114B8">
      <w:pgSz w:w="12240" w:h="15840"/>
      <w:pgMar w:top="709" w:right="1417" w:bottom="142"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E3" w:rsidRDefault="009E2DE3">
      <w:pPr>
        <w:spacing w:after="0" w:line="240" w:lineRule="auto"/>
      </w:pPr>
      <w:r>
        <w:separator/>
      </w:r>
    </w:p>
  </w:endnote>
  <w:endnote w:type="continuationSeparator" w:id="0">
    <w:p w:rsidR="009E2DE3" w:rsidRDefault="009E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E3" w:rsidRDefault="009E2DE3">
      <w:r>
        <w:separator/>
      </w:r>
    </w:p>
  </w:footnote>
  <w:footnote w:type="continuationSeparator" w:id="0">
    <w:p w:rsidR="009E2DE3" w:rsidRDefault="009E2DE3">
      <w:r>
        <w:continuationSeparator/>
      </w:r>
    </w:p>
  </w:footnote>
  <w:footnote w:id="1">
    <w:p w:rsidR="002114B8" w:rsidRDefault="006349A6">
      <w:pPr>
        <w:spacing w:after="0" w:line="240" w:lineRule="auto"/>
        <w:jc w:val="both"/>
      </w:pPr>
      <w:r>
        <w:rPr>
          <w:rStyle w:val="FootnoteCharacters"/>
        </w:rPr>
        <w:footnoteRef/>
      </w:r>
      <w:r>
        <w:rPr>
          <w:sz w:val="20"/>
          <w:szCs w:val="20"/>
        </w:rPr>
        <w:t xml:space="preserve"> BA, MA, PhD; 2</w:t>
      </w:r>
      <w:r>
        <w:rPr>
          <w:sz w:val="20"/>
          <w:szCs w:val="20"/>
          <w:vertAlign w:val="superscript"/>
        </w:rPr>
        <w:t>nd</w:t>
      </w:r>
      <w:r>
        <w:rPr>
          <w:sz w:val="20"/>
          <w:szCs w:val="20"/>
        </w:rPr>
        <w:t xml:space="preserve"> year …</w:t>
      </w:r>
    </w:p>
  </w:footnote>
  <w:footnote w:id="2">
    <w:p w:rsidR="002114B8" w:rsidRDefault="006349A6">
      <w:pPr>
        <w:spacing w:after="0" w:line="240" w:lineRule="auto"/>
        <w:jc w:val="both"/>
      </w:pPr>
      <w:r>
        <w:rPr>
          <w:rStyle w:val="FootnoteCharacters"/>
        </w:rPr>
        <w:footnoteRef/>
      </w:r>
      <w:r>
        <w:rPr>
          <w:sz w:val="20"/>
          <w:szCs w:val="20"/>
        </w:rPr>
        <w:t xml:space="preserve"> Winter, Summer, Academic Year</w:t>
      </w:r>
    </w:p>
  </w:footnote>
  <w:footnote w:id="3">
    <w:p w:rsidR="002114B8" w:rsidRDefault="006349A6">
      <w:pPr>
        <w:pStyle w:val="FootnoteText"/>
        <w:jc w:val="both"/>
      </w:pPr>
      <w:r>
        <w:rPr>
          <w:rStyle w:val="FootnoteCharacters"/>
        </w:rPr>
        <w:footnoteRef/>
      </w:r>
      <w:r>
        <w:t xml:space="preserve"> Teaching language according to the regular </w:t>
      </w:r>
      <w:proofErr w:type="spellStart"/>
      <w:r>
        <w:t>programme</w:t>
      </w:r>
      <w:proofErr w:type="spellEnd"/>
      <w:r>
        <w:t xml:space="preserve"> (e.g. Croatian, French, Slovenian…)</w:t>
      </w:r>
    </w:p>
  </w:footnote>
  <w:footnote w:id="4">
    <w:p w:rsidR="002114B8" w:rsidRDefault="006349A6">
      <w:pPr>
        <w:pStyle w:val="FootnoteText"/>
        <w:jc w:val="both"/>
      </w:pPr>
      <w:r>
        <w:rPr>
          <w:rStyle w:val="FootnoteCharacters"/>
        </w:rPr>
        <w:footnoteRef/>
      </w:r>
      <w:r>
        <w:t xml:space="preserve"> Direct instructions: teaching through lectures/seminars/exercises and teacher-led demonstrations in the classroom; Presentations; Classroom discussion; E-Learning (Omega, etc.); Fieldwork; Other (specify)</w:t>
      </w:r>
    </w:p>
  </w:footnote>
  <w:footnote w:id="5">
    <w:p w:rsidR="002114B8" w:rsidRDefault="006349A6">
      <w:pPr>
        <w:pStyle w:val="FootnoteText"/>
        <w:jc w:val="both"/>
      </w:pPr>
      <w:r>
        <w:rPr>
          <w:rStyle w:val="FootnoteCharacters"/>
        </w:rPr>
        <w:footnoteRef/>
      </w:r>
      <w:r>
        <w:t xml:space="preserve"> </w:t>
      </w:r>
      <w:proofErr w:type="spellStart"/>
      <w:r>
        <w:rPr>
          <w:lang w:val="hr-HR"/>
        </w:rPr>
        <w:t>According</w:t>
      </w:r>
      <w:proofErr w:type="spellEnd"/>
      <w:r>
        <w:rPr>
          <w:lang w:val="hr-HR"/>
        </w:rPr>
        <w:t xml:space="preserve"> to CEFR (</w:t>
      </w:r>
      <w:proofErr w:type="spellStart"/>
      <w:r>
        <w:rPr>
          <w:lang w:val="hr-HR"/>
        </w:rPr>
        <w:t>e.g</w:t>
      </w:r>
      <w:proofErr w:type="spellEnd"/>
      <w:r>
        <w:rPr>
          <w:lang w:val="hr-HR"/>
        </w:rPr>
        <w:t>. English B2, German C1…)</w:t>
      </w:r>
    </w:p>
  </w:footnote>
  <w:footnote w:id="6">
    <w:p w:rsidR="002114B8" w:rsidRDefault="006349A6">
      <w:pPr>
        <w:pStyle w:val="FootnoteText"/>
        <w:jc w:val="both"/>
      </w:pPr>
      <w:r>
        <w:rPr>
          <w:rStyle w:val="FootnoteCharacters"/>
        </w:rPr>
        <w:footnoteRef/>
      </w:r>
      <w:r>
        <w:t xml:space="preserve"> </w:t>
      </w:r>
      <w:r>
        <w:rPr>
          <w:b/>
        </w:rPr>
        <w:t>Language options for guest (exchange) students):</w:t>
      </w:r>
    </w:p>
    <w:p w:rsidR="002114B8" w:rsidRDefault="006349A6">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2114B8" w:rsidRDefault="006349A6">
      <w:pPr>
        <w:pStyle w:val="FootnoteText"/>
        <w:jc w:val="both"/>
      </w:pPr>
      <w:r>
        <w:t>L2 - All teaching activities will be held in regular teaching language only.</w:t>
      </w:r>
    </w:p>
  </w:footnote>
  <w:footnote w:id="7">
    <w:p w:rsidR="002114B8" w:rsidRDefault="006349A6">
      <w:pPr>
        <w:spacing w:after="0" w:line="240" w:lineRule="auto"/>
        <w:jc w:val="both"/>
      </w:pPr>
      <w:r>
        <w:rPr>
          <w:rStyle w:val="FootnoteCharacters"/>
        </w:rPr>
        <w:footnoteRef/>
      </w:r>
      <w:r>
        <w:rPr>
          <w:sz w:val="20"/>
          <w:szCs w:val="20"/>
        </w:rPr>
        <w:t xml:space="preserve"> Class attendance, Essay, Preliminary exam, Seminar paper, Practical work, Written exam, Oral Exam, Other (specify)</w:t>
      </w:r>
    </w:p>
  </w:footnote>
  <w:footnote w:id="8">
    <w:p w:rsidR="002114B8" w:rsidRDefault="006349A6">
      <w:pPr>
        <w:spacing w:after="0" w:line="240" w:lineRule="auto"/>
        <w:jc w:val="both"/>
        <w:rPr>
          <w:sz w:val="20"/>
          <w:szCs w:val="20"/>
        </w:rPr>
      </w:pPr>
      <w:r>
        <w:rPr>
          <w:rStyle w:val="FootnoteCharacters"/>
        </w:rPr>
        <w:footnoteRef/>
      </w:r>
      <w:r>
        <w:rPr>
          <w:sz w:val="20"/>
          <w:szCs w:val="20"/>
        </w:rPr>
        <w:t xml:space="preserve"> Standard - the institutional grading system (5 Excellent; 4 Very good; 3 Good; 2 Sufficient; 1 Fail)</w:t>
      </w:r>
    </w:p>
    <w:p w:rsidR="002114B8" w:rsidRDefault="006349A6">
      <w:pPr>
        <w:spacing w:after="0" w:line="240" w:lineRule="auto"/>
        <w:jc w:val="both"/>
        <w:rPr>
          <w:sz w:val="20"/>
          <w:szCs w:val="20"/>
        </w:rPr>
      </w:pPr>
      <w:r>
        <w:rPr>
          <w:sz w:val="20"/>
          <w:szCs w:val="20"/>
        </w:rPr>
        <w:t xml:space="preserve">Additional: </w:t>
      </w:r>
    </w:p>
    <w:p w:rsidR="002114B8" w:rsidRDefault="006349A6">
      <w:pPr>
        <w:spacing w:after="0" w:line="240" w:lineRule="auto"/>
        <w:jc w:val="both"/>
        <w:rPr>
          <w:sz w:val="20"/>
          <w:szCs w:val="20"/>
        </w:rPr>
      </w:pPr>
      <w:r>
        <w:rPr>
          <w:sz w:val="20"/>
          <w:szCs w:val="20"/>
        </w:rPr>
        <w:t>RA - Regular Attendance (No ECTS credits awarded for course attendance only)</w:t>
      </w:r>
    </w:p>
    <w:p w:rsidR="002114B8" w:rsidRDefault="006349A6">
      <w:pPr>
        <w:spacing w:after="0" w:line="240" w:lineRule="auto"/>
        <w:jc w:val="both"/>
        <w:rPr>
          <w:sz w:val="20"/>
          <w:szCs w:val="20"/>
        </w:rPr>
      </w:pPr>
      <w:r>
        <w:rPr>
          <w:sz w:val="20"/>
          <w:szCs w:val="20"/>
        </w:rPr>
        <w:t>C - Completed (Student has completed proscribed obligations/no ECTS credits awarded)</w:t>
      </w:r>
    </w:p>
    <w:p w:rsidR="002114B8" w:rsidRDefault="006349A6">
      <w:pPr>
        <w:spacing w:after="0" w:line="240" w:lineRule="auto"/>
        <w:jc w:val="both"/>
        <w:rPr>
          <w:sz w:val="20"/>
          <w:szCs w:val="20"/>
        </w:rPr>
      </w:pPr>
      <w:r>
        <w:rPr>
          <w:sz w:val="20"/>
          <w:szCs w:val="20"/>
        </w:rPr>
        <w:t>C+ – Completed + ECTS (Student has completed proscribed obligations + ECTS credits awarded)</w:t>
      </w:r>
    </w:p>
    <w:p w:rsidR="002114B8" w:rsidRDefault="002114B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520A"/>
    <w:multiLevelType w:val="multilevel"/>
    <w:tmpl w:val="3A6A6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ED06C3"/>
    <w:multiLevelType w:val="multilevel"/>
    <w:tmpl w:val="4192D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3A7EA4"/>
    <w:multiLevelType w:val="multilevel"/>
    <w:tmpl w:val="7F5ED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B8"/>
    <w:rsid w:val="002114B8"/>
    <w:rsid w:val="006349A6"/>
    <w:rsid w:val="008E63E9"/>
    <w:rsid w:val="00986BB8"/>
    <w:rsid w:val="009C6E6E"/>
    <w:rsid w:val="009E2DE3"/>
    <w:rsid w:val="00B078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F4572-1C4E-44A3-9E69-40CC5A5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customStyle="1" w:styleId="FootnoteCharacters">
    <w:name w:val="Footnote Characters"/>
    <w:basedOn w:val="DefaultParagraphFont"/>
    <w:uiPriority w:val="99"/>
    <w:semiHidden/>
    <w:unhideWhenUsed/>
    <w:qFormat/>
    <w:rsid w:val="00714366"/>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paragraph" w:styleId="ListParagraph">
    <w:name w:val="List Paragraph"/>
    <w:basedOn w:val="Normal"/>
    <w:uiPriority w:val="34"/>
    <w:qFormat/>
    <w:rsid w:val="005A66ED"/>
    <w:pPr>
      <w:ind w:left="720"/>
      <w:contextualSpacing/>
    </w:p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8E9A-7DF6-40B2-B04F-9C7CA163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Ivana</cp:lastModifiedBy>
  <cp:revision>4</cp:revision>
  <cp:lastPrinted>2019-03-04T10:51:00Z</cp:lastPrinted>
  <dcterms:created xsi:type="dcterms:W3CDTF">2019-03-04T10:51:00Z</dcterms:created>
  <dcterms:modified xsi:type="dcterms:W3CDTF">2019-04-16T14:01:00Z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