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DE" w:rsidRDefault="009517DE"/>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9517DE">
        <w:tc>
          <w:tcPr>
            <w:tcW w:w="9397" w:type="dxa"/>
            <w:gridSpan w:val="3"/>
            <w:shd w:val="clear" w:color="auto" w:fill="auto"/>
            <w:tcMar>
              <w:left w:w="103" w:type="dxa"/>
            </w:tcMar>
          </w:tcPr>
          <w:p w:rsidR="009517DE" w:rsidRDefault="00F42F3E">
            <w:pPr>
              <w:spacing w:after="0" w:line="240" w:lineRule="auto"/>
            </w:pPr>
            <w:r>
              <w:rPr>
                <w:rFonts w:cs="Calibri"/>
              </w:rPr>
              <w:t>STUDY PROGRAMME: Greek language and literature</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BA, MA (all years)</w:t>
            </w: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 xml:space="preserve">Course Title: </w:t>
            </w:r>
            <w:bookmarkStart w:id="0" w:name="_GoBack"/>
            <w:proofErr w:type="spellStart"/>
            <w:r>
              <w:rPr>
                <w:rFonts w:cs="Calibri"/>
              </w:rPr>
              <w:t>Sunoikisis</w:t>
            </w:r>
            <w:proofErr w:type="spellEnd"/>
            <w:r>
              <w:rPr>
                <w:rFonts w:cs="Calibri"/>
              </w:rPr>
              <w:t xml:space="preserve"> Europe</w:t>
            </w:r>
            <w:bookmarkEnd w:id="0"/>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Course Description:</w:t>
            </w:r>
            <w:r>
              <w:rPr>
                <w:rFonts w:cs="Calibri"/>
              </w:rPr>
              <w:t xml:space="preserve"> The European </w:t>
            </w:r>
            <w:proofErr w:type="spellStart"/>
            <w:r>
              <w:rPr>
                <w:rFonts w:cs="Calibri"/>
              </w:rPr>
              <w:t>Sunoikisis</w:t>
            </w:r>
            <w:proofErr w:type="spellEnd"/>
            <w:r>
              <w:rPr>
                <w:rFonts w:cs="Calibri"/>
              </w:rPr>
              <w:t xml:space="preserve"> is the Croatian branch of the </w:t>
            </w:r>
            <w:proofErr w:type="spellStart"/>
            <w:r>
              <w:rPr>
                <w:rFonts w:cs="Calibri"/>
              </w:rPr>
              <w:t>SunoikisisDC</w:t>
            </w:r>
            <w:proofErr w:type="spellEnd"/>
            <w:r>
              <w:rPr>
                <w:rFonts w:cs="Calibri"/>
              </w:rPr>
              <w:t>, an international consortium of Digital Classics programs developed by the Alexander von Humboldt Chair of Digital Humanities at the University of Leipzig in collaboration with the Harvard</w:t>
            </w:r>
            <w:r>
              <w:rPr>
                <w:rFonts w:cs="Calibri"/>
              </w:rPr>
              <w:t xml:space="preserve">’s Center for Hellenic Studies and the Institute of Classical Studies London. The goal of this digital collaborative seminar is to extend </w:t>
            </w:r>
            <w:proofErr w:type="spellStart"/>
            <w:r>
              <w:rPr>
                <w:rFonts w:cs="Calibri"/>
              </w:rPr>
              <w:t>Sunoikisis</w:t>
            </w:r>
            <w:proofErr w:type="spellEnd"/>
            <w:r>
              <w:rPr>
                <w:rFonts w:cs="Calibri"/>
              </w:rPr>
              <w:t xml:space="preserve"> CHS model to a global audience and contribute to it with a teaching program focused on the application of d</w:t>
            </w:r>
            <w:r>
              <w:rPr>
                <w:rFonts w:cs="Calibri"/>
              </w:rPr>
              <w:t xml:space="preserve">igital technologies to the study of Greek and Latin. </w:t>
            </w:r>
            <w:proofErr w:type="gramStart"/>
            <w:r>
              <w:rPr>
                <w:rFonts w:cs="Calibri"/>
              </w:rPr>
              <w:t>It is a collaborative course that</w:t>
            </w:r>
            <w:proofErr w:type="gramEnd"/>
            <w:r>
              <w:rPr>
                <w:rFonts w:cs="Calibri"/>
              </w:rPr>
              <w:t xml:space="preserve"> fosters interdisciplinary paradigms of learning. Master students of both the humanities and computer science are welcome to join the courses and work together by contrib</w:t>
            </w:r>
            <w:r>
              <w:rPr>
                <w:rFonts w:cs="Calibri"/>
              </w:rPr>
              <w:t>uting to digital classics projects in a collaborative environment.</w:t>
            </w:r>
          </w:p>
          <w:p w:rsidR="009517DE" w:rsidRDefault="00F42F3E">
            <w:pPr>
              <w:spacing w:after="0" w:line="240" w:lineRule="auto"/>
            </w:pPr>
            <w:proofErr w:type="spellStart"/>
            <w:r>
              <w:rPr>
                <w:rFonts w:cs="Calibri"/>
              </w:rPr>
              <w:t>SunoikisisDC</w:t>
            </w:r>
            <w:proofErr w:type="spellEnd"/>
            <w:r>
              <w:rPr>
                <w:rFonts w:cs="Calibri"/>
              </w:rPr>
              <w:t xml:space="preserve"> started in the SS 2015 with a Digital Classics course involving 12 countries. </w:t>
            </w:r>
            <w:proofErr w:type="gramStart"/>
            <w:r>
              <w:rPr>
                <w:rFonts w:cs="Calibri"/>
              </w:rPr>
              <w:t>At the moment</w:t>
            </w:r>
            <w:proofErr w:type="gramEnd"/>
            <w:r>
              <w:rPr>
                <w:rFonts w:cs="Calibri"/>
              </w:rPr>
              <w:t xml:space="preserve"> </w:t>
            </w:r>
            <w:proofErr w:type="spellStart"/>
            <w:r>
              <w:rPr>
                <w:rFonts w:cs="Calibri"/>
              </w:rPr>
              <w:t>SunoikisisDC</w:t>
            </w:r>
            <w:proofErr w:type="spellEnd"/>
            <w:r>
              <w:rPr>
                <w:rFonts w:cs="Calibri"/>
              </w:rPr>
              <w:t xml:space="preserve"> is a community of instructors and students from more than 15 countries </w:t>
            </w:r>
            <w:r>
              <w:rPr>
                <w:rFonts w:cs="Calibri"/>
              </w:rPr>
              <w:t>involving more than 30 institutions.</w:t>
            </w:r>
          </w:p>
          <w:p w:rsidR="009517DE" w:rsidRDefault="00F42F3E">
            <w:pPr>
              <w:spacing w:after="0" w:line="240" w:lineRule="auto"/>
            </w:pPr>
            <w:r>
              <w:rPr>
                <w:rFonts w:cs="Calibri"/>
              </w:rPr>
              <w:t xml:space="preserve">Through online lectures, exercises and discussions, the students encounter a wide spectrum of digital methods for engaging with the antiquity, not necessarily only Greek and Roman, </w:t>
            </w:r>
            <w:proofErr w:type="gramStart"/>
            <w:r>
              <w:rPr>
                <w:rFonts w:cs="Calibri"/>
              </w:rPr>
              <w:t>and also</w:t>
            </w:r>
            <w:proofErr w:type="gramEnd"/>
            <w:r>
              <w:rPr>
                <w:rFonts w:cs="Calibri"/>
              </w:rPr>
              <w:t xml:space="preserve"> meet people doing this resear</w:t>
            </w:r>
            <w:r>
              <w:rPr>
                <w:rFonts w:cs="Calibri"/>
              </w:rPr>
              <w:t>ch all over Europe and the world. The students also design and present their own digital project on any aspect of Greek or Roman literature and civilization.</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Semester</w:t>
            </w:r>
            <w:r>
              <w:rPr>
                <w:rStyle w:val="FootnoteAnchor"/>
                <w:rFonts w:cs="Calibri"/>
              </w:rPr>
              <w:footnoteReference w:id="2"/>
            </w:r>
            <w:r>
              <w:rPr>
                <w:rFonts w:cs="Calibri"/>
              </w:rPr>
              <w:t>:</w:t>
            </w:r>
            <w:r>
              <w:rPr>
                <w:rFonts w:cs="Calibri"/>
                <w:color w:val="FF0000"/>
              </w:rPr>
              <w:t xml:space="preserve"> Summer</w:t>
            </w: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Lecturer(s)/Teacher(s): Neven Jovanović</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Teaching Language (regular)</w:t>
            </w:r>
            <w:r>
              <w:rPr>
                <w:rStyle w:val="FootnoteAnchor"/>
                <w:rFonts w:cs="Calibri"/>
              </w:rPr>
              <w:footnoteReference w:id="3"/>
            </w:r>
            <w:r>
              <w:rPr>
                <w:rFonts w:cs="Calibri"/>
              </w:rPr>
              <w:t>: Engli</w:t>
            </w:r>
            <w:r>
              <w:rPr>
                <w:rFonts w:cs="Calibri"/>
              </w:rPr>
              <w:t>sh</w:t>
            </w: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Teaching Methods (regular):</w:t>
            </w:r>
            <w:r>
              <w:rPr>
                <w:rStyle w:val="FootnoteAnchor"/>
                <w:rFonts w:cs="Calibri"/>
              </w:rPr>
              <w:footnoteReference w:id="4"/>
            </w:r>
            <w:r>
              <w:rPr>
                <w:rFonts w:cs="Calibri"/>
              </w:rPr>
              <w:t xml:space="preserve"> Direct instruction, presentations, e-learning</w:t>
            </w:r>
          </w:p>
          <w:p w:rsidR="009517DE" w:rsidRDefault="009517DE">
            <w:pPr>
              <w:spacing w:after="0" w:line="240" w:lineRule="auto"/>
              <w:rPr>
                <w:rFonts w:ascii="Calibri" w:hAnsi="Calibri" w:cs="Calibri"/>
              </w:rPr>
            </w:pPr>
          </w:p>
        </w:tc>
      </w:tr>
      <w:tr w:rsidR="009517DE">
        <w:tc>
          <w:tcPr>
            <w:tcW w:w="3132" w:type="dxa"/>
            <w:shd w:val="clear" w:color="auto" w:fill="auto"/>
            <w:tcMar>
              <w:left w:w="103" w:type="dxa"/>
            </w:tcMar>
          </w:tcPr>
          <w:p w:rsidR="009517DE" w:rsidRDefault="00F42F3E">
            <w:pPr>
              <w:spacing w:after="0" w:line="240" w:lineRule="auto"/>
              <w:rPr>
                <w:rFonts w:ascii="Calibri" w:hAnsi="Calibri" w:cs="Calibri"/>
              </w:rPr>
            </w:pPr>
            <w:r>
              <w:rPr>
                <w:rFonts w:cs="Calibri"/>
              </w:rPr>
              <w:t>Teaching:</w:t>
            </w:r>
          </w:p>
        </w:tc>
        <w:tc>
          <w:tcPr>
            <w:tcW w:w="3132" w:type="dxa"/>
            <w:shd w:val="clear" w:color="auto" w:fill="auto"/>
            <w:tcMar>
              <w:left w:w="103" w:type="dxa"/>
            </w:tcMar>
          </w:tcPr>
          <w:p w:rsidR="009517DE" w:rsidRDefault="00F42F3E">
            <w:pPr>
              <w:spacing w:after="0" w:line="240" w:lineRule="auto"/>
              <w:rPr>
                <w:rFonts w:ascii="Calibri" w:hAnsi="Calibri" w:cs="Calibri"/>
              </w:rPr>
            </w:pPr>
            <w:r>
              <w:rPr>
                <w:rFonts w:cs="Calibri"/>
              </w:rPr>
              <w:t>Weekly (hours)</w:t>
            </w:r>
          </w:p>
        </w:tc>
        <w:tc>
          <w:tcPr>
            <w:tcW w:w="3133" w:type="dxa"/>
            <w:shd w:val="clear" w:color="auto" w:fill="auto"/>
            <w:tcMar>
              <w:left w:w="103" w:type="dxa"/>
            </w:tcMar>
          </w:tcPr>
          <w:p w:rsidR="009517DE" w:rsidRDefault="00F42F3E">
            <w:pPr>
              <w:spacing w:after="0" w:line="240" w:lineRule="auto"/>
              <w:rPr>
                <w:rFonts w:ascii="Calibri" w:hAnsi="Calibri" w:cs="Calibri"/>
              </w:rPr>
            </w:pPr>
            <w:r>
              <w:rPr>
                <w:rFonts w:cs="Calibri"/>
              </w:rPr>
              <w:t>Semester (hours)</w:t>
            </w:r>
          </w:p>
          <w:p w:rsidR="009517DE" w:rsidRDefault="009517DE">
            <w:pPr>
              <w:spacing w:after="0" w:line="240" w:lineRule="auto"/>
              <w:rPr>
                <w:rFonts w:ascii="Calibri" w:hAnsi="Calibri" w:cs="Calibri"/>
              </w:rPr>
            </w:pPr>
          </w:p>
        </w:tc>
      </w:tr>
      <w:tr w:rsidR="009517DE">
        <w:tc>
          <w:tcPr>
            <w:tcW w:w="3132" w:type="dxa"/>
            <w:shd w:val="clear" w:color="auto" w:fill="auto"/>
            <w:tcMar>
              <w:left w:w="103" w:type="dxa"/>
            </w:tcMar>
          </w:tcPr>
          <w:p w:rsidR="009517DE" w:rsidRDefault="00F42F3E">
            <w:pPr>
              <w:spacing w:after="0" w:line="240" w:lineRule="auto"/>
              <w:rPr>
                <w:rFonts w:ascii="Calibri" w:hAnsi="Calibri" w:cs="Calibri"/>
              </w:rPr>
            </w:pPr>
            <w:r>
              <w:rPr>
                <w:rFonts w:cs="Calibri"/>
              </w:rPr>
              <w:t>Lectures:</w:t>
            </w:r>
          </w:p>
        </w:tc>
        <w:tc>
          <w:tcPr>
            <w:tcW w:w="3132" w:type="dxa"/>
            <w:shd w:val="clear" w:color="auto" w:fill="auto"/>
            <w:tcMar>
              <w:left w:w="103" w:type="dxa"/>
            </w:tcMar>
          </w:tcPr>
          <w:p w:rsidR="009517DE" w:rsidRDefault="00F42F3E">
            <w:pPr>
              <w:spacing w:after="0" w:line="240" w:lineRule="auto"/>
              <w:rPr>
                <w:rFonts w:ascii="Calibri" w:hAnsi="Calibri" w:cs="Calibri"/>
              </w:rPr>
            </w:pPr>
            <w:r>
              <w:rPr>
                <w:rFonts w:cs="Calibri"/>
              </w:rPr>
              <w:t>1</w:t>
            </w:r>
          </w:p>
        </w:tc>
        <w:tc>
          <w:tcPr>
            <w:tcW w:w="3133" w:type="dxa"/>
            <w:shd w:val="clear" w:color="auto" w:fill="auto"/>
            <w:tcMar>
              <w:left w:w="103" w:type="dxa"/>
            </w:tcMar>
          </w:tcPr>
          <w:p w:rsidR="009517DE" w:rsidRDefault="00F42F3E">
            <w:pPr>
              <w:spacing w:after="0" w:line="240" w:lineRule="auto"/>
              <w:rPr>
                <w:rFonts w:ascii="Calibri" w:hAnsi="Calibri" w:cs="Calibri"/>
              </w:rPr>
            </w:pPr>
            <w:r>
              <w:rPr>
                <w:rFonts w:cs="Calibri"/>
              </w:rPr>
              <w:t>15</w:t>
            </w:r>
          </w:p>
        </w:tc>
      </w:tr>
      <w:tr w:rsidR="009517DE">
        <w:tc>
          <w:tcPr>
            <w:tcW w:w="3132" w:type="dxa"/>
            <w:shd w:val="clear" w:color="auto" w:fill="auto"/>
            <w:tcMar>
              <w:left w:w="103" w:type="dxa"/>
            </w:tcMar>
          </w:tcPr>
          <w:p w:rsidR="009517DE" w:rsidRDefault="00F42F3E">
            <w:pPr>
              <w:spacing w:after="0" w:line="240" w:lineRule="auto"/>
              <w:rPr>
                <w:rFonts w:ascii="Calibri" w:hAnsi="Calibri" w:cs="Calibri"/>
              </w:rPr>
            </w:pPr>
            <w:r>
              <w:rPr>
                <w:rFonts w:cs="Calibri"/>
              </w:rPr>
              <w:t>Exercises:</w:t>
            </w:r>
          </w:p>
        </w:tc>
        <w:tc>
          <w:tcPr>
            <w:tcW w:w="3132" w:type="dxa"/>
            <w:shd w:val="clear" w:color="auto" w:fill="auto"/>
            <w:tcMar>
              <w:left w:w="103" w:type="dxa"/>
            </w:tcMar>
          </w:tcPr>
          <w:p w:rsidR="009517DE" w:rsidRDefault="009517DE">
            <w:pPr>
              <w:spacing w:after="0" w:line="240" w:lineRule="auto"/>
              <w:rPr>
                <w:rFonts w:ascii="Calibri" w:hAnsi="Calibri" w:cs="Calibri"/>
              </w:rPr>
            </w:pPr>
          </w:p>
        </w:tc>
        <w:tc>
          <w:tcPr>
            <w:tcW w:w="3133" w:type="dxa"/>
            <w:shd w:val="clear" w:color="auto" w:fill="auto"/>
            <w:tcMar>
              <w:left w:w="103" w:type="dxa"/>
            </w:tcMar>
          </w:tcPr>
          <w:p w:rsidR="009517DE" w:rsidRDefault="009517DE">
            <w:pPr>
              <w:spacing w:after="0" w:line="240" w:lineRule="auto"/>
              <w:rPr>
                <w:rFonts w:ascii="Calibri" w:hAnsi="Calibri" w:cs="Calibri"/>
              </w:rPr>
            </w:pPr>
          </w:p>
        </w:tc>
      </w:tr>
      <w:tr w:rsidR="009517DE">
        <w:tc>
          <w:tcPr>
            <w:tcW w:w="3132" w:type="dxa"/>
            <w:shd w:val="clear" w:color="auto" w:fill="auto"/>
            <w:tcMar>
              <w:left w:w="103" w:type="dxa"/>
            </w:tcMar>
          </w:tcPr>
          <w:p w:rsidR="009517DE" w:rsidRDefault="00F42F3E">
            <w:pPr>
              <w:spacing w:after="0" w:line="240" w:lineRule="auto"/>
              <w:rPr>
                <w:rFonts w:ascii="Calibri" w:hAnsi="Calibri" w:cs="Calibri"/>
              </w:rPr>
            </w:pPr>
            <w:r>
              <w:rPr>
                <w:rFonts w:cs="Calibri"/>
              </w:rPr>
              <w:t>Seminars:</w:t>
            </w:r>
          </w:p>
        </w:tc>
        <w:tc>
          <w:tcPr>
            <w:tcW w:w="3132" w:type="dxa"/>
            <w:shd w:val="clear" w:color="auto" w:fill="auto"/>
            <w:tcMar>
              <w:left w:w="103" w:type="dxa"/>
            </w:tcMar>
          </w:tcPr>
          <w:p w:rsidR="009517DE" w:rsidRDefault="009517DE">
            <w:pPr>
              <w:spacing w:after="0" w:line="240" w:lineRule="auto"/>
              <w:rPr>
                <w:rFonts w:ascii="Calibri" w:hAnsi="Calibri" w:cs="Calibri"/>
              </w:rPr>
            </w:pPr>
          </w:p>
        </w:tc>
        <w:tc>
          <w:tcPr>
            <w:tcW w:w="3133" w:type="dxa"/>
            <w:shd w:val="clear" w:color="auto" w:fill="auto"/>
            <w:tcMar>
              <w:left w:w="103" w:type="dxa"/>
            </w:tcMar>
          </w:tcPr>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ECTS: 3</w:t>
            </w: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English</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Teaching</w:t>
            </w:r>
            <w:r>
              <w:rPr>
                <w:rFonts w:cs="Calibri"/>
              </w:rPr>
              <w:t xml:space="preserve"> Methods</w:t>
            </w:r>
            <w:r>
              <w:rPr>
                <w:rStyle w:val="FootnoteAnchor"/>
                <w:rFonts w:cs="Calibri"/>
              </w:rPr>
              <w:footnoteReference w:id="6"/>
            </w:r>
            <w:r>
              <w:rPr>
                <w:rFonts w:cs="Calibri"/>
              </w:rPr>
              <w:t xml:space="preserve"> for guest (exchange) students: L2; direct instruction, presentations, e-learning</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lastRenderedPageBreak/>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Practical work, written reports; standard grading</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Learning Outcomes:</w:t>
            </w:r>
            <w:r>
              <w:rPr>
                <w:rFonts w:cs="Calibri"/>
              </w:rPr>
              <w:t xml:space="preserve"> Students encounter, test, and understand basic digital methods for researching ancient texts and objects, as well as data about the antiquity</w:t>
            </w:r>
          </w:p>
          <w:p w:rsidR="009517DE" w:rsidRDefault="00F42F3E">
            <w:pPr>
              <w:spacing w:after="0" w:line="240" w:lineRule="auto"/>
            </w:pPr>
            <w:r>
              <w:rPr>
                <w:rFonts w:cs="Calibri"/>
              </w:rPr>
              <w:t>Students develop and present their own application of digital methods to a problem from the Greek or Roman cultur</w:t>
            </w:r>
            <w:r>
              <w:rPr>
                <w:rFonts w:cs="Calibri"/>
              </w:rPr>
              <w:t>e</w:t>
            </w:r>
          </w:p>
          <w:p w:rsidR="009517DE" w:rsidRDefault="00F42F3E">
            <w:pPr>
              <w:spacing w:after="0" w:line="240" w:lineRule="auto"/>
            </w:pPr>
            <w:r>
              <w:rPr>
                <w:rFonts w:cs="Calibri"/>
              </w:rPr>
              <w:t>Students take part in an international community of classical scholars</w:t>
            </w:r>
          </w:p>
          <w:p w:rsidR="009517DE" w:rsidRDefault="009517DE">
            <w:pPr>
              <w:spacing w:after="0" w:line="240" w:lineRule="auto"/>
              <w:rPr>
                <w:rFonts w:ascii="Calibri" w:hAnsi="Calibri" w:cs="Calibri"/>
              </w:rPr>
            </w:pPr>
          </w:p>
        </w:tc>
      </w:tr>
      <w:tr w:rsidR="009517DE">
        <w:tc>
          <w:tcPr>
            <w:tcW w:w="9397" w:type="dxa"/>
            <w:gridSpan w:val="3"/>
            <w:shd w:val="clear" w:color="auto" w:fill="auto"/>
            <w:tcMar>
              <w:left w:w="103" w:type="dxa"/>
            </w:tcMar>
          </w:tcPr>
          <w:p w:rsidR="009517DE" w:rsidRDefault="00F42F3E">
            <w:pPr>
              <w:spacing w:after="0" w:line="240" w:lineRule="auto"/>
            </w:pPr>
            <w:r>
              <w:rPr>
                <w:rFonts w:cs="Calibri"/>
              </w:rPr>
              <w:t>Literature: http://www.dh.uni-leipzig.de/wo/sunoikisisdc/</w:t>
            </w:r>
          </w:p>
          <w:p w:rsidR="009517DE" w:rsidRDefault="009517DE">
            <w:pPr>
              <w:spacing w:after="0" w:line="240" w:lineRule="auto"/>
              <w:rPr>
                <w:rFonts w:ascii="Calibri" w:hAnsi="Calibri" w:cs="Calibri"/>
              </w:rPr>
            </w:pPr>
          </w:p>
        </w:tc>
      </w:tr>
    </w:tbl>
    <w:p w:rsidR="009517DE" w:rsidRDefault="009517DE"/>
    <w:sectPr w:rsidR="009517DE">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3E" w:rsidRDefault="00F42F3E">
      <w:pPr>
        <w:spacing w:after="0" w:line="240" w:lineRule="auto"/>
      </w:pPr>
      <w:r>
        <w:separator/>
      </w:r>
    </w:p>
  </w:endnote>
  <w:endnote w:type="continuationSeparator" w:id="0">
    <w:p w:rsidR="00F42F3E" w:rsidRDefault="00F4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3E" w:rsidRDefault="00F42F3E">
      <w:r>
        <w:separator/>
      </w:r>
    </w:p>
  </w:footnote>
  <w:footnote w:type="continuationSeparator" w:id="0">
    <w:p w:rsidR="00F42F3E" w:rsidRDefault="00F42F3E">
      <w:r>
        <w:continuationSeparator/>
      </w:r>
    </w:p>
  </w:footnote>
  <w:footnote w:id="1">
    <w:p w:rsidR="009517DE" w:rsidRDefault="00F42F3E">
      <w:pPr>
        <w:spacing w:after="0" w:line="240" w:lineRule="auto"/>
        <w:jc w:val="both"/>
      </w:pPr>
      <w:r>
        <w:rPr>
          <w:rStyle w:val="FootnoteReference"/>
          <w:sz w:val="20"/>
          <w:szCs w:val="20"/>
        </w:rPr>
        <w:footnoteRef/>
      </w:r>
      <w:r>
        <w:rPr>
          <w:rStyle w:val="FootnoteReference"/>
          <w:sz w:val="20"/>
          <w:szCs w:val="20"/>
        </w:rPr>
        <w:tab/>
      </w:r>
      <w:r>
        <w:rPr>
          <w:sz w:val="20"/>
          <w:szCs w:val="20"/>
        </w:rPr>
        <w:t xml:space="preserve"> BA, MA, PhD; 2</w:t>
      </w:r>
      <w:r>
        <w:rPr>
          <w:sz w:val="20"/>
          <w:szCs w:val="20"/>
          <w:vertAlign w:val="superscript"/>
        </w:rPr>
        <w:t>nd</w:t>
      </w:r>
      <w:r>
        <w:rPr>
          <w:sz w:val="20"/>
          <w:szCs w:val="20"/>
        </w:rPr>
        <w:t xml:space="preserve"> year …</w:t>
      </w:r>
    </w:p>
  </w:footnote>
  <w:footnote w:id="2">
    <w:p w:rsidR="009517DE" w:rsidRDefault="00F42F3E">
      <w:pPr>
        <w:spacing w:after="0" w:line="240" w:lineRule="auto"/>
        <w:jc w:val="both"/>
      </w:pPr>
      <w:r>
        <w:rPr>
          <w:rStyle w:val="FootnoteReference"/>
          <w:sz w:val="20"/>
          <w:szCs w:val="20"/>
        </w:rPr>
        <w:footnoteRef/>
      </w:r>
      <w:r>
        <w:rPr>
          <w:rStyle w:val="FootnoteReference"/>
          <w:sz w:val="20"/>
          <w:szCs w:val="20"/>
        </w:rPr>
        <w:tab/>
      </w:r>
      <w:r>
        <w:rPr>
          <w:sz w:val="20"/>
          <w:szCs w:val="20"/>
        </w:rPr>
        <w:t xml:space="preserve"> Winter, Summer, Academic Year</w:t>
      </w:r>
    </w:p>
  </w:footnote>
  <w:footnote w:id="3">
    <w:p w:rsidR="009517DE" w:rsidRDefault="00F42F3E">
      <w:pPr>
        <w:pStyle w:val="FootnoteText"/>
        <w:jc w:val="both"/>
      </w:pPr>
      <w:r>
        <w:rPr>
          <w:rStyle w:val="FootnoteReference"/>
        </w:rPr>
        <w:footnoteRef/>
      </w:r>
      <w:r>
        <w:rPr>
          <w:rStyle w:val="FootnoteReference"/>
        </w:rPr>
        <w:tab/>
      </w:r>
      <w:r>
        <w:t xml:space="preserve"> Teaching language according to the regular </w:t>
      </w:r>
      <w:proofErr w:type="spellStart"/>
      <w:r>
        <w:t>programme</w:t>
      </w:r>
      <w:proofErr w:type="spellEnd"/>
      <w:r>
        <w:t xml:space="preserve"> (e.g. Croatian, French, Slovenian…)</w:t>
      </w:r>
    </w:p>
  </w:footnote>
  <w:footnote w:id="4">
    <w:p w:rsidR="009517DE" w:rsidRDefault="00F42F3E">
      <w:pPr>
        <w:pStyle w:val="FootnoteText"/>
        <w:jc w:val="both"/>
      </w:pPr>
      <w:r>
        <w:rPr>
          <w:rStyle w:val="FootnoteReference"/>
        </w:rPr>
        <w:footnoteRef/>
      </w:r>
      <w:r>
        <w:rPr>
          <w:rStyle w:val="FootnoteReference"/>
        </w:rPr>
        <w:tab/>
      </w:r>
      <w:r>
        <w:t xml:space="preserve"> Direct instructions: teaching through lectures/seminars/exercises and teacher-led demonstrations in </w:t>
      </w:r>
      <w:r>
        <w:t>the classroom; Presentations; Classroom discussion; E-Learning (Omega, etc.); Fieldwork; Other (specify)</w:t>
      </w:r>
    </w:p>
  </w:footnote>
  <w:footnote w:id="5">
    <w:p w:rsidR="009517DE" w:rsidRDefault="00F42F3E">
      <w:pPr>
        <w:pStyle w:val="FootnoteText"/>
        <w:jc w:val="both"/>
      </w:pPr>
      <w:r>
        <w:rPr>
          <w:rStyle w:val="FootnoteReference"/>
        </w:rPr>
        <w:footnoteRef/>
      </w:r>
      <w:r>
        <w:rPr>
          <w:rStyle w:val="FootnoteReference"/>
        </w:rPr>
        <w:tab/>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9517DE" w:rsidRDefault="00F42F3E">
      <w:pPr>
        <w:pStyle w:val="FootnoteText"/>
        <w:jc w:val="both"/>
      </w:pPr>
      <w:r>
        <w:rPr>
          <w:rStyle w:val="FootnoteReference"/>
        </w:rPr>
        <w:footnoteRef/>
      </w:r>
      <w:r>
        <w:rPr>
          <w:rStyle w:val="FootnoteReference"/>
        </w:rPr>
        <w:tab/>
      </w:r>
      <w:r>
        <w:t xml:space="preserve"> </w:t>
      </w:r>
      <w:r>
        <w:rPr>
          <w:b/>
        </w:rPr>
        <w:t>Language options for guest (exchange) students):</w:t>
      </w:r>
    </w:p>
    <w:p w:rsidR="009517DE" w:rsidRDefault="00F42F3E">
      <w:pPr>
        <w:pStyle w:val="FootnoteText"/>
        <w:jc w:val="both"/>
      </w:pPr>
      <w:r>
        <w:tab/>
        <w:t xml:space="preserve">L1 - All teaching activities </w:t>
      </w:r>
      <w:proofErr w:type="gramStart"/>
      <w:r>
        <w:t>will be held</w:t>
      </w:r>
      <w:proofErr w:type="gramEnd"/>
      <w:r>
        <w:t xml:space="preserve"> in re</w:t>
      </w:r>
      <w:r>
        <w:t>gular teaching language. However, guest (exchange) students will have the opportunity to attend additional consultations with the lecturer and teaching assistants in foreign language (indicated as teaching language for guest (exchange) students), to help m</w:t>
      </w:r>
      <w:r>
        <w:t>aster the course materials. Additionally, the lecturer will refer guest (exchange) students to the corresponding literature in foreign language, as well as give them the possibility of taking the associated exams in foreign language.</w:t>
      </w:r>
    </w:p>
    <w:p w:rsidR="009517DE" w:rsidRDefault="00F42F3E">
      <w:pPr>
        <w:pStyle w:val="FootnoteText"/>
        <w:jc w:val="both"/>
      </w:pPr>
      <w:r>
        <w:tab/>
        <w:t>L2 - All teaching act</w:t>
      </w:r>
      <w:r>
        <w:t xml:space="preserve">ivities </w:t>
      </w:r>
      <w:proofErr w:type="gramStart"/>
      <w:r>
        <w:t>will be held</w:t>
      </w:r>
      <w:proofErr w:type="gramEnd"/>
      <w:r>
        <w:t xml:space="preserve"> in regular teaching language only.</w:t>
      </w:r>
    </w:p>
  </w:footnote>
  <w:footnote w:id="7">
    <w:p w:rsidR="009517DE" w:rsidRDefault="00F42F3E">
      <w:pPr>
        <w:spacing w:after="0" w:line="240" w:lineRule="auto"/>
        <w:jc w:val="both"/>
      </w:pPr>
      <w:r>
        <w:rPr>
          <w:rStyle w:val="FootnoteReference"/>
          <w:sz w:val="20"/>
          <w:szCs w:val="20"/>
        </w:rPr>
        <w:footnoteRef/>
      </w:r>
      <w:r>
        <w:rPr>
          <w:rStyle w:val="FootnoteReference"/>
          <w:sz w:val="20"/>
          <w:szCs w:val="20"/>
        </w:rPr>
        <w:tab/>
      </w:r>
      <w:r>
        <w:rPr>
          <w:sz w:val="20"/>
          <w:szCs w:val="20"/>
        </w:rPr>
        <w:t xml:space="preserve"> Class attendance, Essay, Preliminary exam, Seminar paper, Practical work, Written exam, Oral Exam, Other (specify)</w:t>
      </w:r>
    </w:p>
  </w:footnote>
  <w:footnote w:id="8">
    <w:p w:rsidR="009517DE" w:rsidRDefault="00F42F3E">
      <w:pPr>
        <w:spacing w:after="0" w:line="240" w:lineRule="auto"/>
        <w:jc w:val="both"/>
        <w:rPr>
          <w:sz w:val="20"/>
          <w:szCs w:val="20"/>
        </w:rPr>
      </w:pPr>
      <w:r>
        <w:rPr>
          <w:rStyle w:val="FootnoteReference"/>
          <w:sz w:val="20"/>
          <w:szCs w:val="20"/>
        </w:rPr>
        <w:footnoteRef/>
      </w:r>
      <w:r>
        <w:rPr>
          <w:rStyle w:val="FootnoteReference"/>
          <w:sz w:val="20"/>
          <w:szCs w:val="20"/>
        </w:rPr>
        <w:tab/>
      </w:r>
      <w:r>
        <w:rPr>
          <w:sz w:val="20"/>
          <w:szCs w:val="20"/>
        </w:rPr>
        <w:t xml:space="preserve"> Standard - the institutional grading system (5 Excellent; 4 Very good; 3 Good; </w:t>
      </w:r>
      <w:r>
        <w:rPr>
          <w:sz w:val="20"/>
          <w:szCs w:val="20"/>
        </w:rPr>
        <w:t>2 Sufficient; 1 Fail)</w:t>
      </w:r>
    </w:p>
    <w:p w:rsidR="009517DE" w:rsidRDefault="00F42F3E">
      <w:pPr>
        <w:spacing w:after="0" w:line="240" w:lineRule="auto"/>
        <w:jc w:val="both"/>
        <w:rPr>
          <w:sz w:val="20"/>
          <w:szCs w:val="20"/>
        </w:rPr>
      </w:pPr>
      <w:r>
        <w:rPr>
          <w:sz w:val="20"/>
          <w:szCs w:val="20"/>
        </w:rPr>
        <w:tab/>
        <w:t xml:space="preserve">Additional: </w:t>
      </w:r>
    </w:p>
    <w:p w:rsidR="009517DE" w:rsidRDefault="00F42F3E">
      <w:pPr>
        <w:spacing w:after="0" w:line="240" w:lineRule="auto"/>
        <w:jc w:val="both"/>
        <w:rPr>
          <w:sz w:val="20"/>
          <w:szCs w:val="20"/>
        </w:rPr>
      </w:pPr>
      <w:r>
        <w:rPr>
          <w:sz w:val="20"/>
          <w:szCs w:val="20"/>
        </w:rPr>
        <w:tab/>
        <w:t>RA - Regular Attendance (No ECTS credits awarded for course attendance only)</w:t>
      </w:r>
    </w:p>
    <w:p w:rsidR="009517DE" w:rsidRDefault="00F42F3E">
      <w:pPr>
        <w:spacing w:after="0" w:line="240" w:lineRule="auto"/>
        <w:jc w:val="both"/>
        <w:rPr>
          <w:sz w:val="20"/>
          <w:szCs w:val="20"/>
        </w:rPr>
      </w:pPr>
      <w:r>
        <w:rPr>
          <w:sz w:val="20"/>
          <w:szCs w:val="20"/>
        </w:rPr>
        <w:tab/>
        <w:t>C - Completed (Student has completed proscribed obligations/no ECTS credits awarded)</w:t>
      </w:r>
    </w:p>
    <w:p w:rsidR="009517DE" w:rsidRDefault="00F42F3E">
      <w:pPr>
        <w:spacing w:after="0" w:line="240" w:lineRule="auto"/>
        <w:jc w:val="both"/>
        <w:rPr>
          <w:sz w:val="20"/>
          <w:szCs w:val="20"/>
        </w:rPr>
      </w:pPr>
      <w:r>
        <w:rPr>
          <w:sz w:val="20"/>
          <w:szCs w:val="20"/>
        </w:rPr>
        <w:tab/>
        <w:t>C+ – Completed + ECTS (Student has completed proscribed</w:t>
      </w:r>
      <w:r>
        <w:rPr>
          <w:sz w:val="20"/>
          <w:szCs w:val="20"/>
        </w:rPr>
        <w:t xml:space="preserve"> obligations + ECTS credits awarded)</w:t>
      </w:r>
    </w:p>
    <w:p w:rsidR="009517DE" w:rsidRDefault="009517D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DE"/>
    <w:rsid w:val="009517DE"/>
    <w:rsid w:val="00AD702A"/>
    <w:rsid w:val="00F42F3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B6DB-DCD5-495B-8766-98186AEF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JP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EC7D-A5E5-4ED2-ABE9-330141D3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Ivana</cp:lastModifiedBy>
  <cp:revision>14</cp:revision>
  <cp:lastPrinted>2019-02-18T13:08:00Z</cp:lastPrinted>
  <dcterms:created xsi:type="dcterms:W3CDTF">2019-02-18T15:16:00Z</dcterms:created>
  <dcterms:modified xsi:type="dcterms:W3CDTF">2019-04-25T06:34:00Z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