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440608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Turkology</w:t>
            </w:r>
            <w:proofErr w:type="spellEnd"/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440608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440608">
              <w:rPr>
                <w:rFonts w:ascii="Calibri" w:hAnsi="Calibri" w:cs="Calibri"/>
                <w:color w:val="FF0000"/>
              </w:rPr>
              <w:t>BA 3</w:t>
            </w:r>
            <w:r w:rsidR="00440608">
              <w:rPr>
                <w:rFonts w:ascii="Calibri" w:hAnsi="Calibri" w:cs="Calibri"/>
                <w:color w:val="FF0000"/>
                <w:vertAlign w:val="superscript"/>
              </w:rPr>
              <w:t xml:space="preserve">rd </w:t>
            </w:r>
            <w:r w:rsidR="00440608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440608" w:rsidP="00714366">
            <w:pPr>
              <w:rPr>
                <w:rFonts w:ascii="Calibri" w:hAnsi="Calibri" w:cs="Calibri"/>
              </w:rPr>
            </w:pPr>
            <w:r>
              <w:t>Turkish Language: Syntax Basics (I)</w:t>
            </w:r>
          </w:p>
        </w:tc>
      </w:tr>
      <w:tr w:rsidR="005D7B91" w:rsidTr="00D24CAA">
        <w:trPr>
          <w:trHeight w:val="2154"/>
        </w:trPr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Pr="006E7AA8" w:rsidRDefault="00CD0E88" w:rsidP="00776A76">
            <w:pPr>
              <w:rPr>
                <w:rFonts w:cs="Calibri"/>
              </w:rPr>
            </w:pPr>
            <w:r w:rsidRPr="006E7AA8">
              <w:rPr>
                <w:rFonts w:cs="Arial"/>
              </w:rPr>
              <w:t xml:space="preserve">The course is focused on </w:t>
            </w:r>
            <w:r w:rsidR="009D6C37" w:rsidRPr="006E7AA8">
              <w:rPr>
                <w:rFonts w:cs="Arial"/>
              </w:rPr>
              <w:t>the</w:t>
            </w:r>
            <w:r w:rsidRPr="006E7AA8">
              <w:rPr>
                <w:rFonts w:cs="Arial"/>
              </w:rPr>
              <w:t xml:space="preserve"> syntactic structure of Turkish language. It deals with different types </w:t>
            </w:r>
            <w:r w:rsidR="009D6C37" w:rsidRPr="006E7AA8">
              <w:rPr>
                <w:rFonts w:cs="Arial"/>
              </w:rPr>
              <w:t xml:space="preserve">of </w:t>
            </w:r>
            <w:r w:rsidR="007E2ADC">
              <w:rPr>
                <w:rFonts w:cs="Arial"/>
              </w:rPr>
              <w:t xml:space="preserve">simple </w:t>
            </w:r>
            <w:r w:rsidR="009D6C37" w:rsidRPr="006E7AA8">
              <w:rPr>
                <w:rFonts w:cs="Arial"/>
              </w:rPr>
              <w:t>w</w:t>
            </w:r>
            <w:r w:rsidR="006E7AA8">
              <w:rPr>
                <w:rFonts w:cs="Arial"/>
              </w:rPr>
              <w:t>ord combinations</w:t>
            </w:r>
            <w:r w:rsidR="009D6C37" w:rsidRPr="006E7AA8">
              <w:rPr>
                <w:rFonts w:cs="Arial"/>
              </w:rPr>
              <w:t xml:space="preserve">, </w:t>
            </w:r>
            <w:r w:rsidR="00776A76">
              <w:rPr>
                <w:rFonts w:cs="Arial"/>
              </w:rPr>
              <w:t>subordination</w:t>
            </w:r>
            <w:r w:rsidR="009D6C37" w:rsidRPr="006E7AA8">
              <w:rPr>
                <w:rFonts w:cs="Arial"/>
              </w:rPr>
              <w:t xml:space="preserve">, word order and </w:t>
            </w:r>
            <w:r w:rsidR="007E2ADC">
              <w:rPr>
                <w:rFonts w:cs="Arial"/>
              </w:rPr>
              <w:t xml:space="preserve">the </w:t>
            </w:r>
            <w:r w:rsidR="009D6C37" w:rsidRPr="006E7AA8">
              <w:rPr>
                <w:rFonts w:cs="Arial"/>
              </w:rPr>
              <w:t xml:space="preserve">structure of </w:t>
            </w:r>
            <w:r w:rsidR="007E2ADC">
              <w:rPr>
                <w:rFonts w:cs="Arial"/>
              </w:rPr>
              <w:t xml:space="preserve">simple </w:t>
            </w:r>
            <w:r w:rsidR="009D6C37" w:rsidRPr="006E7AA8">
              <w:rPr>
                <w:rFonts w:cs="Arial"/>
              </w:rPr>
              <w:t>Turkish sentence</w:t>
            </w:r>
            <w:r w:rsidR="00081ADC">
              <w:rPr>
                <w:rFonts w:cs="Arial"/>
              </w:rPr>
              <w:t xml:space="preserve"> by contrasting them with semantically close structures in Croatian language</w:t>
            </w:r>
            <w:r w:rsidR="009D6C37" w:rsidRPr="006E7AA8">
              <w:rPr>
                <w:rFonts w:cs="Arial"/>
              </w:rPr>
              <w:t>.</w:t>
            </w:r>
            <w:r w:rsidR="008C7E5C" w:rsidRPr="006E7AA8">
              <w:rPr>
                <w:lang w:val="en"/>
              </w:rPr>
              <w:t xml:space="preserve"> It </w:t>
            </w:r>
            <w:r w:rsidR="00081ADC">
              <w:rPr>
                <w:lang w:val="en"/>
              </w:rPr>
              <w:t xml:space="preserve">also </w:t>
            </w:r>
            <w:r w:rsidR="008C7E5C" w:rsidRPr="006E7AA8">
              <w:rPr>
                <w:lang w:val="en"/>
              </w:rPr>
              <w:t>aims in strengthening and expanding students’ reading, writing and speaking skills in Turkish through reading of different kinds of authentic Turkish texts</w:t>
            </w:r>
            <w:r w:rsidR="007E2ADC">
              <w:rPr>
                <w:lang w:val="en"/>
              </w:rPr>
              <w:t xml:space="preserve"> on daily life</w:t>
            </w:r>
            <w:r w:rsidR="008C7E5C" w:rsidRPr="006E7AA8">
              <w:rPr>
                <w:lang w:val="en"/>
              </w:rPr>
              <w:t xml:space="preserve">, grammar review, writing </w:t>
            </w:r>
            <w:r w:rsidR="006E7AA8">
              <w:rPr>
                <w:lang w:val="en"/>
              </w:rPr>
              <w:t xml:space="preserve">and speaking </w:t>
            </w:r>
            <w:r w:rsidR="008C7E5C" w:rsidRPr="006E7AA8">
              <w:rPr>
                <w:lang w:val="en"/>
              </w:rPr>
              <w:t>practice</w:t>
            </w:r>
            <w:r w:rsidR="006E7AA8">
              <w:rPr>
                <w:lang w:val="en"/>
              </w:rPr>
              <w:t xml:space="preserve"> and translating </w:t>
            </w:r>
            <w:r w:rsidR="00EC35FC">
              <w:rPr>
                <w:lang w:val="en"/>
              </w:rPr>
              <w:t xml:space="preserve">texts </w:t>
            </w:r>
            <w:r w:rsidR="006E7AA8">
              <w:rPr>
                <w:lang w:val="en"/>
              </w:rPr>
              <w:t>from Turki</w:t>
            </w:r>
            <w:r w:rsidR="007E2ADC">
              <w:rPr>
                <w:lang w:val="en"/>
              </w:rPr>
              <w:t>sh into Croatian and vice versa about topics on daily life.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440608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440608" w:rsidRDefault="00440608" w:rsidP="00CD0E88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</w:rPr>
              <w:t xml:space="preserve">Barbara Kerovec, </w:t>
            </w:r>
            <w:r w:rsidR="00CD0E88">
              <w:rPr>
                <w:rFonts w:ascii="Calibri" w:hAnsi="Calibri" w:cs="Calibri"/>
              </w:rPr>
              <w:t>two Turkish native speaker teachers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Pr="00440608" w:rsidRDefault="00E203E8" w:rsidP="0071436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440608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CD0E88" w:rsidP="00714366">
            <w:pPr>
              <w:rPr>
                <w:rFonts w:ascii="Calibri" w:hAnsi="Calibri" w:cs="Calibri"/>
              </w:rPr>
            </w:pPr>
            <w:r w:rsidRPr="00D12733">
              <w:t>Direct instructions: tea</w:t>
            </w:r>
            <w:r>
              <w:t xml:space="preserve">ching through lectures and </w:t>
            </w:r>
            <w:r w:rsidRPr="00D12733">
              <w:t>exercises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  <w:r w:rsidR="00A94F4C">
              <w:rPr>
                <w:rFonts w:ascii="Calibri" w:hAnsi="Calibri" w:cs="Calibri"/>
              </w:rPr>
              <w:t xml:space="preserve"> lectures and exercises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9D6C37">
              <w:rPr>
                <w:rFonts w:ascii="Calibri" w:hAnsi="Calibri" w:cs="Calibri"/>
              </w:rPr>
              <w:t xml:space="preserve"> 8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9D6C37">
              <w:rPr>
                <w:rFonts w:ascii="Calibri" w:hAnsi="Calibri" w:cs="Calibri"/>
              </w:rPr>
              <w:t xml:space="preserve"> 120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D6C37">
              <w:rPr>
                <w:rFonts w:ascii="Calibri" w:hAnsi="Calibri" w:cs="Calibri"/>
              </w:rPr>
              <w:t xml:space="preserve"> 7</w:t>
            </w:r>
          </w:p>
        </w:tc>
      </w:tr>
      <w:tr w:rsidR="00BC2B7F" w:rsidTr="00A94F4C">
        <w:trPr>
          <w:trHeight w:val="798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E5791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Croatian C1, </w:t>
            </w:r>
            <w:r w:rsidR="009D6C37">
              <w:rPr>
                <w:rFonts w:ascii="Calibri" w:hAnsi="Calibri" w:cs="Calibri"/>
              </w:rPr>
              <w:t>Turkish B2, English B2</w:t>
            </w:r>
          </w:p>
        </w:tc>
      </w:tr>
      <w:tr w:rsidR="00BC2B7F" w:rsidTr="00D24CAA">
        <w:trPr>
          <w:trHeight w:val="684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A94F4C" w:rsidP="003E332F">
            <w:pPr>
              <w:rPr>
                <w:rFonts w:ascii="Calibri" w:hAnsi="Calibri" w:cs="Calibri"/>
              </w:rPr>
            </w:pPr>
            <w:r w:rsidRPr="00D12733">
              <w:t xml:space="preserve">L1 </w:t>
            </w:r>
          </w:p>
        </w:tc>
      </w:tr>
      <w:tr w:rsidR="00EB59AF" w:rsidTr="00D24CAA">
        <w:trPr>
          <w:trHeight w:val="1544"/>
        </w:trPr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D24CAA" w:rsidRPr="003B1E7C" w:rsidRDefault="00D24CAA" w:rsidP="00714366">
            <w:pPr>
              <w:rPr>
                <w:rFonts w:ascii="Calibri" w:hAnsi="Calibri" w:cs="Calibri"/>
              </w:rPr>
            </w:pPr>
          </w:p>
          <w:p w:rsidR="00EB59AF" w:rsidRPr="00D24CAA" w:rsidRDefault="00A94F4C" w:rsidP="00A94F4C">
            <w:r w:rsidRPr="00D24CAA">
              <w:t>Evaluation Methods: Class attendance, Essay, Written exam, Oral Exam</w:t>
            </w:r>
          </w:p>
          <w:p w:rsidR="00A94F4C" w:rsidRDefault="00A94F4C" w:rsidP="00813421">
            <w:r w:rsidRPr="00D24CAA">
              <w:t>Standard Grading- the institutional grading system (5 Excellent; 4 Very good; 3 Good; 2 Sufficient; 1 Fail)</w:t>
            </w:r>
          </w:p>
          <w:p w:rsidR="002815F1" w:rsidRDefault="002815F1" w:rsidP="00813421">
            <w:pPr>
              <w:rPr>
                <w:rFonts w:ascii="Calibri" w:hAnsi="Calibri" w:cs="Calibri"/>
              </w:rPr>
            </w:pPr>
            <w:r w:rsidRPr="005E1895">
              <w:rPr>
                <w:sz w:val="20"/>
                <w:szCs w:val="20"/>
              </w:rPr>
              <w:t>C+ – Completed + ECTS (Student has completed proscribed obligations + ECTS credits awarded)</w:t>
            </w: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81ADC" w:rsidRPr="00D24CAA" w:rsidRDefault="00081ADC" w:rsidP="00A94F4C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D24CAA">
              <w:rPr>
                <w:rFonts w:eastAsia="Times New Roman" w:cs="Arial"/>
                <w:lang w:val="hr-HR" w:eastAsia="hr-HR"/>
              </w:rPr>
              <w:t xml:space="preserve">The ability to </w:t>
            </w:r>
            <w:r w:rsidR="00585B26">
              <w:rPr>
                <w:rFonts w:eastAsia="Times New Roman" w:cs="Arial"/>
                <w:lang w:val="hr-HR" w:eastAsia="hr-HR"/>
              </w:rPr>
              <w:t>describe</w:t>
            </w:r>
            <w:r w:rsidRPr="00D24CAA">
              <w:rPr>
                <w:rFonts w:eastAsia="Times New Roman" w:cs="Arial"/>
                <w:lang w:val="hr-HR" w:eastAsia="hr-HR"/>
              </w:rPr>
              <w:t xml:space="preserve">, analyze and interpret </w:t>
            </w:r>
            <w:r w:rsidR="00A94F4C" w:rsidRPr="00D24CAA">
              <w:rPr>
                <w:rFonts w:eastAsia="Times New Roman" w:cs="Arial"/>
                <w:lang w:val="hr-HR" w:eastAsia="hr-HR"/>
              </w:rPr>
              <w:t>the</w:t>
            </w:r>
            <w:r w:rsidRPr="00D24CAA">
              <w:rPr>
                <w:rFonts w:eastAsia="Times New Roman" w:cs="Arial"/>
                <w:lang w:val="hr-HR" w:eastAsia="hr-HR"/>
              </w:rPr>
              <w:t xml:space="preserve"> syntactic</w:t>
            </w:r>
            <w:r w:rsidR="00A94F4C" w:rsidRPr="00D24CAA">
              <w:rPr>
                <w:rFonts w:eastAsia="Times New Roman" w:cs="Arial"/>
                <w:lang w:val="hr-HR" w:eastAsia="hr-HR"/>
              </w:rPr>
              <w:t xml:space="preserve"> structure </w:t>
            </w:r>
            <w:r w:rsidRPr="00D24CAA">
              <w:rPr>
                <w:rFonts w:eastAsia="Times New Roman" w:cs="Arial"/>
                <w:lang w:val="hr-HR" w:eastAsia="hr-HR"/>
              </w:rPr>
              <w:t xml:space="preserve">of Turkish language </w:t>
            </w:r>
            <w:r w:rsidR="00A94F4C" w:rsidRPr="00D24CAA">
              <w:rPr>
                <w:rFonts w:eastAsia="Times New Roman" w:cs="Arial"/>
                <w:lang w:val="hr-HR" w:eastAsia="hr-HR"/>
              </w:rPr>
              <w:t xml:space="preserve">and </w:t>
            </w:r>
            <w:r w:rsidR="00D24CAA" w:rsidRPr="00D24CAA">
              <w:rPr>
                <w:rFonts w:eastAsia="Times New Roman" w:cs="Arial"/>
                <w:lang w:val="hr-HR" w:eastAsia="hr-HR"/>
              </w:rPr>
              <w:t xml:space="preserve">to explain the word order and </w:t>
            </w:r>
            <w:r w:rsidR="00776A76">
              <w:rPr>
                <w:rFonts w:eastAsia="Times New Roman" w:cs="Arial"/>
                <w:lang w:val="hr-HR" w:eastAsia="hr-HR"/>
              </w:rPr>
              <w:t>subordination</w:t>
            </w:r>
            <w:r w:rsidR="00D24CAA" w:rsidRPr="00D24CAA">
              <w:rPr>
                <w:rFonts w:eastAsia="Times New Roman" w:cs="Arial"/>
                <w:lang w:val="hr-HR" w:eastAsia="hr-HR"/>
              </w:rPr>
              <w:t xml:space="preserve"> principles in different kinds of Turkish </w:t>
            </w:r>
            <w:r w:rsidR="00D24CAA">
              <w:rPr>
                <w:rFonts w:eastAsia="Times New Roman" w:cs="Arial"/>
                <w:lang w:val="hr-HR" w:eastAsia="hr-HR"/>
              </w:rPr>
              <w:t xml:space="preserve">phrases and </w:t>
            </w:r>
            <w:r w:rsidR="00457E8D">
              <w:rPr>
                <w:rFonts w:eastAsia="Times New Roman" w:cs="Arial"/>
                <w:lang w:val="hr-HR" w:eastAsia="hr-HR"/>
              </w:rPr>
              <w:t xml:space="preserve">simple </w:t>
            </w:r>
            <w:r w:rsidR="00D24CAA" w:rsidRPr="00D24CAA">
              <w:rPr>
                <w:rFonts w:eastAsia="Times New Roman" w:cs="Arial"/>
                <w:lang w:val="hr-HR" w:eastAsia="hr-HR"/>
              </w:rPr>
              <w:t>sentences.</w:t>
            </w:r>
          </w:p>
          <w:p w:rsidR="00A94F4C" w:rsidRPr="00A94F4C" w:rsidRDefault="00081ADC" w:rsidP="00A94F4C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D24CAA">
              <w:rPr>
                <w:rFonts w:eastAsia="Times New Roman" w:cs="Arial"/>
                <w:lang w:val="hr-HR" w:eastAsia="hr-HR"/>
              </w:rPr>
              <w:t xml:space="preserve">The ability </w:t>
            </w:r>
            <w:r w:rsidR="001E5B13" w:rsidRPr="00D24CAA">
              <w:rPr>
                <w:rFonts w:eastAsia="Times New Roman" w:cs="Arial"/>
                <w:lang w:val="hr-HR" w:eastAsia="hr-HR"/>
              </w:rPr>
              <w:t xml:space="preserve">to </w:t>
            </w:r>
            <w:r w:rsidRPr="00D24CAA">
              <w:rPr>
                <w:rFonts w:eastAsia="Times New Roman" w:cs="Arial"/>
                <w:lang w:val="hr-HR" w:eastAsia="hr-HR"/>
              </w:rPr>
              <w:t xml:space="preserve">contrast </w:t>
            </w:r>
            <w:r w:rsidR="001E5B13" w:rsidRPr="00D24CAA">
              <w:rPr>
                <w:rFonts w:eastAsia="Times New Roman" w:cs="Arial"/>
                <w:lang w:val="hr-HR" w:eastAsia="hr-HR"/>
              </w:rPr>
              <w:t>Turkish and Croatian syntactic</w:t>
            </w:r>
            <w:r w:rsidRPr="00D24CAA">
              <w:rPr>
                <w:rFonts w:eastAsia="Times New Roman" w:cs="Arial"/>
                <w:lang w:val="hr-HR" w:eastAsia="hr-HR"/>
              </w:rPr>
              <w:t xml:space="preserve"> stuctures </w:t>
            </w:r>
            <w:r w:rsidR="001E5B13" w:rsidRPr="00D24CAA">
              <w:rPr>
                <w:rFonts w:eastAsia="Times New Roman" w:cs="Arial"/>
                <w:lang w:val="hr-HR" w:eastAsia="hr-HR"/>
              </w:rPr>
              <w:t>from grammatical and semantic perspective</w:t>
            </w:r>
            <w:r w:rsidRPr="00D24CAA">
              <w:rPr>
                <w:rFonts w:eastAsia="Times New Roman" w:cs="Arial"/>
                <w:lang w:val="hr-HR" w:eastAsia="hr-HR"/>
              </w:rPr>
              <w:t xml:space="preserve">. </w:t>
            </w:r>
          </w:p>
          <w:p w:rsidR="00A94F4C" w:rsidRPr="00A94F4C" w:rsidRDefault="001E5B13" w:rsidP="00A94F4C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D24CAA">
              <w:rPr>
                <w:rFonts w:eastAsia="Times New Roman" w:cs="Arial"/>
                <w:lang w:val="hr-HR" w:eastAsia="hr-HR"/>
              </w:rPr>
              <w:t xml:space="preserve">The ability to interpret Turkish texts </w:t>
            </w:r>
            <w:r w:rsidR="00457E8D">
              <w:rPr>
                <w:rFonts w:eastAsia="Times New Roman" w:cs="Arial"/>
                <w:lang w:val="hr-HR" w:eastAsia="hr-HR"/>
              </w:rPr>
              <w:t xml:space="preserve">on daily life and </w:t>
            </w:r>
            <w:r w:rsidR="00457E8D" w:rsidRPr="00D24CAA">
              <w:rPr>
                <w:rFonts w:eastAsia="Times New Roman" w:cs="Arial"/>
                <w:lang w:val="hr-HR" w:eastAsia="hr-HR"/>
              </w:rPr>
              <w:t>belonging to different discourse types</w:t>
            </w:r>
            <w:r w:rsidR="00457E8D">
              <w:rPr>
                <w:rFonts w:eastAsia="Times New Roman" w:cs="Arial"/>
                <w:lang w:val="hr-HR" w:eastAsia="hr-HR"/>
              </w:rPr>
              <w:t>.</w:t>
            </w:r>
          </w:p>
          <w:p w:rsidR="00EB59AF" w:rsidRPr="00457E8D" w:rsidRDefault="001E5B13" w:rsidP="00457E8D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333333"/>
                <w:sz w:val="21"/>
                <w:szCs w:val="21"/>
                <w:lang w:val="hr-HR" w:eastAsia="hr-HR"/>
              </w:rPr>
            </w:pPr>
            <w:r w:rsidRPr="00457E8D">
              <w:rPr>
                <w:rFonts w:eastAsia="Times New Roman" w:cs="Arial"/>
                <w:lang w:val="hr-HR" w:eastAsia="hr-HR"/>
              </w:rPr>
              <w:t>The ability to</w:t>
            </w:r>
            <w:r w:rsidR="00457E8D" w:rsidRPr="00457E8D">
              <w:t xml:space="preserve"> </w:t>
            </w:r>
            <w:r w:rsidRPr="00457E8D">
              <w:rPr>
                <w:rFonts w:eastAsia="Times New Roman" w:cs="Arial"/>
                <w:lang w:val="hr-HR" w:eastAsia="hr-HR"/>
              </w:rPr>
              <w:t xml:space="preserve">demonstrate written and oral </w:t>
            </w:r>
            <w:r w:rsidR="00671856" w:rsidRPr="00457E8D">
              <w:rPr>
                <w:rFonts w:eastAsia="Times New Roman" w:cs="Arial"/>
                <w:lang w:val="hr-HR" w:eastAsia="hr-HR"/>
              </w:rPr>
              <w:t xml:space="preserve">expression in Turkish </w:t>
            </w:r>
            <w:r w:rsidR="00457E8D" w:rsidRPr="00457E8D">
              <w:rPr>
                <w:rFonts w:eastAsia="Times New Roman" w:cs="Arial"/>
                <w:lang w:val="hr-HR" w:eastAsia="hr-HR"/>
              </w:rPr>
              <w:t xml:space="preserve">to </w:t>
            </w:r>
            <w:r w:rsidR="00457E8D" w:rsidRPr="00457E8D">
              <w:t>communicate information and opinions about daily life</w:t>
            </w:r>
            <w:r w:rsidR="00671856" w:rsidRPr="00457E8D">
              <w:rPr>
                <w:rFonts w:eastAsia="Times New Roman" w:cs="Arial"/>
                <w:lang w:val="hr-HR" w:eastAsia="hr-HR"/>
              </w:rPr>
              <w:t>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9B421C" w:rsidRDefault="009B421C" w:rsidP="00714366">
            <w:pPr>
              <w:rPr>
                <w:rFonts w:ascii="Calibri" w:hAnsi="Calibri" w:cs="Calibri"/>
              </w:rPr>
            </w:pPr>
          </w:p>
          <w:p w:rsidR="009B421C" w:rsidRDefault="009B421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 literature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D24CAA">
              <w:rPr>
                <w:rFonts w:eastAsia="Times New Roman" w:cs="Arial"/>
                <w:lang w:val="hr-HR" w:eastAsia="hr-HR"/>
              </w:rPr>
              <w:t xml:space="preserve"> (1996).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Gramatika suvremenoga turskog jezika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D24CAA">
              <w:rPr>
                <w:rFonts w:eastAsia="Times New Roman" w:cs="Arial"/>
                <w:lang w:val="hr-HR" w:eastAsia="hr-HR"/>
              </w:rPr>
              <w:t xml:space="preserve"> Zagreb: Hrvatska sveučilišna naklada.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Erguvanlı, E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(1984)</w:t>
            </w:r>
            <w:r w:rsidRP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The Function of Word Order in Turkish Grammar</w:t>
            </w:r>
            <w:r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>
              <w:rPr>
                <w:rFonts w:eastAsia="Times New Roman" w:cs="Arial"/>
                <w:lang w:val="hr-HR" w:eastAsia="hr-HR"/>
              </w:rPr>
              <w:t>Berkley</w:t>
            </w:r>
            <w:r w:rsidRPr="00D24CAA">
              <w:rPr>
                <w:rFonts w:eastAsia="Times New Roman" w:cs="Arial"/>
                <w:lang w:val="hr-HR" w:eastAsia="hr-HR"/>
              </w:rPr>
              <w:t>: University of California Press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Hengirmen, M. (1995)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Türkçe Dilbilgisi</w:t>
            </w:r>
            <w:r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>
              <w:rPr>
                <w:rFonts w:eastAsia="Times New Roman" w:cs="Arial"/>
                <w:lang w:val="hr-HR" w:eastAsia="hr-HR"/>
              </w:rPr>
              <w:t>: Engin Ya</w:t>
            </w:r>
            <w:r>
              <w:rPr>
                <w:rFonts w:eastAsia="Times New Roman" w:cs="Arial"/>
                <w:lang w:val="tr-TR" w:eastAsia="hr-HR"/>
              </w:rPr>
              <w:t>yınevi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Atabay, N.,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Özel, S. &amp; Çam, A. (1981</w:t>
            </w:r>
            <w:r>
              <w:rPr>
                <w:rFonts w:eastAsia="Times New Roman" w:cs="Arial"/>
                <w:lang w:val="hr-HR" w:eastAsia="hr-HR"/>
              </w:rPr>
              <w:t xml:space="preserve">). </w:t>
            </w:r>
            <w:r w:rsidRPr="0016233A">
              <w:rPr>
                <w:rFonts w:eastAsia="Times New Roman" w:cs="Arial"/>
                <w:i/>
                <w:lang w:val="hr-HR" w:eastAsia="hr-HR"/>
              </w:rPr>
              <w:t>Türkiye Türkçesinin Sözdizimi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>
              <w:rPr>
                <w:rFonts w:eastAsia="Times New Roman" w:cs="Arial"/>
                <w:lang w:val="hr-HR" w:eastAsia="hr-HR"/>
              </w:rPr>
              <w:t>: TDK Y</w:t>
            </w:r>
            <w:r>
              <w:rPr>
                <w:rFonts w:eastAsia="Times New Roman" w:cs="Arial"/>
                <w:lang w:val="tr-TR" w:eastAsia="hr-HR"/>
              </w:rPr>
              <w:t>ayınları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Lewis, G. L. (2000).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lang w:val="hr-HR" w:eastAsia="hr-HR"/>
              </w:rPr>
              <w:t>. Oxford: Oxford University Press.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Swift, L. (1962).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A Reference Grammar of Modern Turkish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Bloomington</w:t>
            </w:r>
            <w:r>
              <w:rPr>
                <w:rFonts w:eastAsia="Times New Roman" w:cs="Arial"/>
                <w:lang w:val="hr-HR" w:eastAsia="hr-HR"/>
              </w:rPr>
              <w:t>: Indiana University.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Teodosijević, M.(2004)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Turski jezik u svakodnevnoj komunikaciji</w:t>
            </w:r>
            <w:r>
              <w:rPr>
                <w:rFonts w:eastAsia="Times New Roman" w:cs="Arial"/>
                <w:lang w:val="hr-HR" w:eastAsia="hr-HR"/>
              </w:rPr>
              <w:t>. Beograd: Čigoja štampa.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Kornfilt, J.</w:t>
            </w:r>
            <w:r>
              <w:rPr>
                <w:rFonts w:eastAsia="Times New Roman" w:cs="Arial"/>
                <w:lang w:val="hr-HR" w:eastAsia="hr-HR"/>
              </w:rPr>
              <w:t xml:space="preserve"> (2000).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9B421C" w:rsidRDefault="00321BEB" w:rsidP="009B42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E. (2018)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Us</w:t>
            </w:r>
            <w:r w:rsidRPr="00D631B1">
              <w:rPr>
                <w:rFonts w:eastAsia="Times New Roman" w:cs="Arial"/>
                <w:i/>
                <w:lang w:val="hr-HR" w:eastAsia="hr-HR"/>
              </w:rPr>
              <w:t>troj, sintaksa i semantika infi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nitnih glagolskih oblika u turskom jeziku. Turski i hrvatski jezik u usporedbi i kontrastiranju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>Zagreb: Ibis grafika</w:t>
            </w:r>
          </w:p>
          <w:p w:rsidR="009B421C" w:rsidRPr="009B421C" w:rsidRDefault="009B421C" w:rsidP="009B421C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Recommended additional literature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Kononov, A. N. (1956)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Grammatika sovremennogo tureckogo literaturnogo jazyka</w:t>
            </w:r>
            <w:r>
              <w:rPr>
                <w:rFonts w:eastAsia="Times New Roman" w:cs="Arial"/>
                <w:lang w:val="hr-HR" w:eastAsia="hr-HR"/>
              </w:rPr>
              <w:t>. Mosk</w:t>
            </w:r>
            <w:r w:rsidR="00775F79">
              <w:rPr>
                <w:rFonts w:eastAsia="Times New Roman" w:cs="Arial"/>
                <w:lang w:val="hr-HR" w:eastAsia="hr-HR"/>
              </w:rPr>
              <w:t>ow</w:t>
            </w:r>
            <w:r>
              <w:rPr>
                <w:rFonts w:eastAsia="Times New Roman" w:cs="Arial"/>
                <w:lang w:val="hr-HR" w:eastAsia="hr-HR"/>
              </w:rPr>
              <w:t xml:space="preserve">/ Leningrad: </w:t>
            </w:r>
            <w:proofErr w:type="spellStart"/>
            <w:r w:rsidRPr="00D631B1">
              <w:rPr>
                <w:rStyle w:val="st1"/>
                <w:rFonts w:cs="Arial"/>
              </w:rPr>
              <w:t>Akademija</w:t>
            </w:r>
            <w:proofErr w:type="spellEnd"/>
            <w:r w:rsidRPr="00D631B1">
              <w:rPr>
                <w:rStyle w:val="st1"/>
                <w:rFonts w:cs="Arial"/>
              </w:rPr>
              <w:t xml:space="preserve"> </w:t>
            </w:r>
            <w:proofErr w:type="spellStart"/>
            <w:r w:rsidRPr="00D631B1">
              <w:rPr>
                <w:rStyle w:val="st1"/>
                <w:rFonts w:cs="Arial"/>
              </w:rPr>
              <w:t>Nauk</w:t>
            </w:r>
            <w:proofErr w:type="spellEnd"/>
            <w:r w:rsidRPr="00D631B1">
              <w:rPr>
                <w:rStyle w:val="st1"/>
                <w:rFonts w:cs="Arial"/>
              </w:rPr>
              <w:t xml:space="preserve"> CCCP</w:t>
            </w:r>
            <w:r>
              <w:rPr>
                <w:rStyle w:val="st1"/>
                <w:rFonts w:cs="Arial"/>
              </w:rPr>
              <w:t>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Banguoğlu, T. (1974).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Türkçenin Grameri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İstanbul. 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Underhill, R. (1976).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 w:rsidR="00191805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Cambridge</w:t>
            </w:r>
            <w:r>
              <w:rPr>
                <w:rFonts w:eastAsia="Times New Roman" w:cs="Arial"/>
                <w:lang w:val="hr-HR" w:eastAsia="hr-HR"/>
              </w:rPr>
              <w:t>: MIT Press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G</w:t>
            </w:r>
            <w:r>
              <w:rPr>
                <w:rFonts w:eastAsia="Times New Roman" w:cs="Arial"/>
                <w:lang w:val="hr-HR" w:eastAsia="hr-HR"/>
              </w:rPr>
              <w:t>öksel, A. i Kerslake, C. (2005).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Turkish: A Comp</w:t>
            </w:r>
            <w:r w:rsidR="00A327B8">
              <w:rPr>
                <w:rFonts w:eastAsia="Times New Roman" w:cs="Arial"/>
                <w:i/>
                <w:lang w:val="hr-HR" w:eastAsia="hr-HR"/>
              </w:rPr>
              <w:t>r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ehensive Grammar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321BEB" w:rsidRPr="00081ADC" w:rsidRDefault="00321BEB" w:rsidP="00321B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Ćatović, A., Bakšić, S. i Ertanır, E. (2011)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Vrijeme je za turski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>İstanbul: Fono Yayınları</w:t>
            </w:r>
            <w:r>
              <w:rPr>
                <w:rFonts w:eastAsia="Times New Roman" w:cs="Arial"/>
                <w:lang w:val="hr-HR" w:eastAsia="hr-HR"/>
              </w:rPr>
              <w:t>.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9B421C" w:rsidRDefault="00C64195" w:rsidP="009B421C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9B421C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C" w:rsidRDefault="00986ECC" w:rsidP="00714366">
      <w:pPr>
        <w:spacing w:after="0" w:line="240" w:lineRule="auto"/>
      </w:pPr>
      <w:r>
        <w:separator/>
      </w:r>
    </w:p>
  </w:endnote>
  <w:endnote w:type="continuationSeparator" w:id="0">
    <w:p w:rsidR="00986ECC" w:rsidRDefault="00986EC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C" w:rsidRDefault="00986ECC" w:rsidP="00714366">
      <w:pPr>
        <w:spacing w:after="0" w:line="240" w:lineRule="auto"/>
      </w:pPr>
      <w:r>
        <w:separator/>
      </w:r>
    </w:p>
  </w:footnote>
  <w:footnote w:type="continuationSeparator" w:id="0">
    <w:p w:rsidR="00986ECC" w:rsidRDefault="00986ECC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8F"/>
    <w:multiLevelType w:val="multilevel"/>
    <w:tmpl w:val="127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F67DB"/>
    <w:multiLevelType w:val="multilevel"/>
    <w:tmpl w:val="1C24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E1356"/>
    <w:multiLevelType w:val="multilevel"/>
    <w:tmpl w:val="F48C4E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56C6F"/>
    <w:rsid w:val="0007245F"/>
    <w:rsid w:val="00081ADC"/>
    <w:rsid w:val="00120BC5"/>
    <w:rsid w:val="0016233A"/>
    <w:rsid w:val="00191805"/>
    <w:rsid w:val="00195BAC"/>
    <w:rsid w:val="001E5B13"/>
    <w:rsid w:val="001F6B69"/>
    <w:rsid w:val="00230887"/>
    <w:rsid w:val="002815F1"/>
    <w:rsid w:val="00297469"/>
    <w:rsid w:val="00321BEB"/>
    <w:rsid w:val="00345458"/>
    <w:rsid w:val="003804F7"/>
    <w:rsid w:val="00381EEA"/>
    <w:rsid w:val="003B1E7C"/>
    <w:rsid w:val="003E03D6"/>
    <w:rsid w:val="003E332F"/>
    <w:rsid w:val="00440608"/>
    <w:rsid w:val="00457E8D"/>
    <w:rsid w:val="00465279"/>
    <w:rsid w:val="004A2952"/>
    <w:rsid w:val="004B5E10"/>
    <w:rsid w:val="004B66D5"/>
    <w:rsid w:val="00525147"/>
    <w:rsid w:val="00585B26"/>
    <w:rsid w:val="005D7B91"/>
    <w:rsid w:val="0062222F"/>
    <w:rsid w:val="00662550"/>
    <w:rsid w:val="00671856"/>
    <w:rsid w:val="00675172"/>
    <w:rsid w:val="006E74D7"/>
    <w:rsid w:val="006E7AA8"/>
    <w:rsid w:val="00714366"/>
    <w:rsid w:val="007254DF"/>
    <w:rsid w:val="00775F79"/>
    <w:rsid w:val="00776A76"/>
    <w:rsid w:val="007E09CB"/>
    <w:rsid w:val="007E2ADC"/>
    <w:rsid w:val="00813421"/>
    <w:rsid w:val="008728B8"/>
    <w:rsid w:val="008C7E5C"/>
    <w:rsid w:val="009047B0"/>
    <w:rsid w:val="0092582F"/>
    <w:rsid w:val="00966206"/>
    <w:rsid w:val="00966E70"/>
    <w:rsid w:val="00986ECC"/>
    <w:rsid w:val="009B421C"/>
    <w:rsid w:val="009C6004"/>
    <w:rsid w:val="009D6C37"/>
    <w:rsid w:val="00A01504"/>
    <w:rsid w:val="00A327B8"/>
    <w:rsid w:val="00A6036F"/>
    <w:rsid w:val="00A94F4C"/>
    <w:rsid w:val="00AB04BF"/>
    <w:rsid w:val="00AC000C"/>
    <w:rsid w:val="00AD64A3"/>
    <w:rsid w:val="00BC2B7F"/>
    <w:rsid w:val="00C122B0"/>
    <w:rsid w:val="00C64195"/>
    <w:rsid w:val="00CD030E"/>
    <w:rsid w:val="00CD0E88"/>
    <w:rsid w:val="00D06704"/>
    <w:rsid w:val="00D12733"/>
    <w:rsid w:val="00D22A7B"/>
    <w:rsid w:val="00D24CAA"/>
    <w:rsid w:val="00D64B47"/>
    <w:rsid w:val="00D933EA"/>
    <w:rsid w:val="00DD0B81"/>
    <w:rsid w:val="00E07D7A"/>
    <w:rsid w:val="00E203E8"/>
    <w:rsid w:val="00E471DE"/>
    <w:rsid w:val="00E57917"/>
    <w:rsid w:val="00EA0E2C"/>
    <w:rsid w:val="00EB59AF"/>
    <w:rsid w:val="00EC35FC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7059-2DB9-433E-906E-1DF88E61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32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626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6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6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239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97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02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94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2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AF0E-558E-47AB-881B-65283DA3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26</cp:revision>
  <cp:lastPrinted>2019-02-18T13:08:00Z</cp:lastPrinted>
  <dcterms:created xsi:type="dcterms:W3CDTF">2019-02-23T10:24:00Z</dcterms:created>
  <dcterms:modified xsi:type="dcterms:W3CDTF">2019-03-01T15:34:00Z</dcterms:modified>
</cp:coreProperties>
</file>