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08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C8306D">
        <w:tc>
          <w:tcPr>
            <w:tcW w:w="9396" w:type="dxa"/>
            <w:gridSpan w:val="3"/>
          </w:tcPr>
          <w:p w14:paraId="6C72E6C8" w14:textId="1504FFB1" w:rsidR="00714366" w:rsidRPr="00542FD0" w:rsidRDefault="00714366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STUDY PROGRAMME:</w:t>
            </w:r>
            <w:r w:rsidR="00120BC5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3642" w:rsidRPr="00542FD0">
              <w:rPr>
                <w:color w:val="000000" w:themeColor="text1"/>
              </w:rPr>
              <w:t xml:space="preserve">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Ukrainian language and literature</w:t>
            </w:r>
          </w:p>
          <w:p w14:paraId="0F0C7388" w14:textId="77777777" w:rsidR="00EB59AF" w:rsidRPr="00542FD0" w:rsidRDefault="00EB59AF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7D795378" w14:textId="77777777" w:rsidTr="00C8306D">
        <w:tc>
          <w:tcPr>
            <w:tcW w:w="9396" w:type="dxa"/>
            <w:gridSpan w:val="3"/>
          </w:tcPr>
          <w:p w14:paraId="2D6B03B0" w14:textId="0C9E507A" w:rsidR="005D7B91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Level</w:t>
            </w:r>
            <w:r w:rsidR="00EB59AF" w:rsidRPr="00542FD0">
              <w:rPr>
                <w:rFonts w:ascii="Calibri" w:hAnsi="Calibri" w:cs="Calibri"/>
                <w:color w:val="000000" w:themeColor="text1"/>
              </w:rPr>
              <w:t xml:space="preserve"> and Year</w:t>
            </w:r>
            <w:r w:rsidR="007254DF"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1"/>
            </w:r>
            <w:r w:rsidRPr="00542FD0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542FD0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BA; 2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  <w:vertAlign w:val="superscript"/>
              </w:rPr>
              <w:t xml:space="preserve">nd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year</w:t>
            </w:r>
          </w:p>
        </w:tc>
      </w:tr>
      <w:tr w:rsidR="00A01504" w14:paraId="6F6D4E86" w14:textId="77777777" w:rsidTr="00C8306D">
        <w:tc>
          <w:tcPr>
            <w:tcW w:w="9396" w:type="dxa"/>
            <w:gridSpan w:val="3"/>
          </w:tcPr>
          <w:p w14:paraId="32842F4F" w14:textId="239E960D" w:rsidR="00A01504" w:rsidRPr="00542FD0" w:rsidRDefault="00A01504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Course Title:</w:t>
            </w:r>
            <w:r w:rsidR="00933642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bookmarkStart w:id="0" w:name="_GoBack"/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Ukrainian Literature 3</w:t>
            </w:r>
            <w:bookmarkEnd w:id="0"/>
          </w:p>
          <w:p w14:paraId="1417C856" w14:textId="77777777" w:rsidR="00A01504" w:rsidRPr="00542FD0" w:rsidRDefault="00A01504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D7B91" w14:paraId="65E02FD9" w14:textId="77777777" w:rsidTr="00C8306D">
        <w:tc>
          <w:tcPr>
            <w:tcW w:w="9396" w:type="dxa"/>
            <w:gridSpan w:val="3"/>
          </w:tcPr>
          <w:p w14:paraId="4139EA59" w14:textId="66CDCF8B" w:rsidR="00EB59AF" w:rsidRPr="00542FD0" w:rsidRDefault="005D7B91" w:rsidP="00AE4947">
            <w:pPr>
              <w:jc w:val="both"/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933642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The course focuses on the characteristics and the development of Ukrainian literature from the late 18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  <w:vertAlign w:val="superscript"/>
              </w:rPr>
              <w:t>th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to the mid-19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  <w:vertAlign w:val="superscript"/>
              </w:rPr>
              <w:t>th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century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,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a period of 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new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Ukrainian literature written in modern U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krainian language (from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Kotliarevsky</w:t>
            </w:r>
            <w:proofErr w:type="spellEnd"/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to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Shevchenko and </w:t>
            </w:r>
            <w:proofErr w:type="spellStart"/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Kulish</w:t>
            </w:r>
            <w:proofErr w:type="spellEnd"/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), with special reference 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to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the problem of national revival and the de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velopment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of the Ukrainian literary language. </w:t>
            </w:r>
          </w:p>
        </w:tc>
      </w:tr>
      <w:tr w:rsidR="005D7B91" w14:paraId="48339ACF" w14:textId="77777777" w:rsidTr="00C8306D">
        <w:tc>
          <w:tcPr>
            <w:tcW w:w="9396" w:type="dxa"/>
            <w:gridSpan w:val="3"/>
          </w:tcPr>
          <w:p w14:paraId="649877AA" w14:textId="219DC6D3" w:rsidR="005D7B91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542FD0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8306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Su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mmer</w:t>
            </w:r>
          </w:p>
        </w:tc>
      </w:tr>
      <w:tr w:rsidR="00714366" w14:paraId="54489DA3" w14:textId="77777777" w:rsidTr="00C8306D">
        <w:tc>
          <w:tcPr>
            <w:tcW w:w="9396" w:type="dxa"/>
            <w:gridSpan w:val="3"/>
          </w:tcPr>
          <w:p w14:paraId="7EC6E02C" w14:textId="579CFE7E" w:rsidR="00714366" w:rsidRPr="00542FD0" w:rsidRDefault="00714366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Lecturer</w:t>
            </w:r>
            <w:r w:rsidR="007254DF" w:rsidRPr="00542FD0">
              <w:rPr>
                <w:rFonts w:ascii="Calibri" w:hAnsi="Calibri" w:cs="Calibri"/>
                <w:color w:val="000000" w:themeColor="text1"/>
              </w:rPr>
              <w:t>(s)/Teacher(s)</w:t>
            </w:r>
            <w:r w:rsidRPr="00542FD0">
              <w:rPr>
                <w:rFonts w:ascii="Calibri" w:hAnsi="Calibri" w:cs="Calibri"/>
                <w:color w:val="000000" w:themeColor="text1"/>
              </w:rPr>
              <w:t>:</w:t>
            </w:r>
            <w:r w:rsidR="00933642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prof. dr. Jevgenij Paščenko; Domagoj Kliček </w:t>
            </w:r>
          </w:p>
          <w:p w14:paraId="2E92E42F" w14:textId="77777777" w:rsidR="00C64195" w:rsidRPr="00542FD0" w:rsidRDefault="00C64195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01504" w14:paraId="6FE9EE65" w14:textId="77777777" w:rsidTr="00C8306D">
        <w:tc>
          <w:tcPr>
            <w:tcW w:w="9396" w:type="dxa"/>
            <w:gridSpan w:val="3"/>
          </w:tcPr>
          <w:p w14:paraId="00D469C2" w14:textId="68BD7035" w:rsidR="00E203E8" w:rsidRPr="00542FD0" w:rsidRDefault="00E203E8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Teaching Language (regular)</w:t>
            </w:r>
            <w:r w:rsidR="00C64195"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3"/>
            </w:r>
            <w:r w:rsidR="007254DF" w:rsidRPr="00542FD0">
              <w:rPr>
                <w:rFonts w:ascii="Calibri" w:hAnsi="Calibri" w:cs="Calibri"/>
                <w:color w:val="000000" w:themeColor="text1"/>
              </w:rPr>
              <w:t>:</w:t>
            </w:r>
            <w:r w:rsidR="00933642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Ukrainian </w:t>
            </w:r>
          </w:p>
        </w:tc>
      </w:tr>
      <w:tr w:rsidR="007254DF" w14:paraId="75DA87D9" w14:textId="77777777" w:rsidTr="00C8306D">
        <w:tc>
          <w:tcPr>
            <w:tcW w:w="9396" w:type="dxa"/>
            <w:gridSpan w:val="3"/>
          </w:tcPr>
          <w:p w14:paraId="47A73CF6" w14:textId="198254EC" w:rsidR="009C6004" w:rsidRPr="00542FD0" w:rsidRDefault="007254DF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Teaching Methods (regular):</w:t>
            </w:r>
            <w:r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4"/>
            </w:r>
            <w:r w:rsidR="00933642" w:rsidRPr="00542FD0">
              <w:rPr>
                <w:color w:val="000000" w:themeColor="text1"/>
              </w:rPr>
              <w:t xml:space="preserve">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teaching through lectures and seminars</w:t>
            </w:r>
          </w:p>
        </w:tc>
      </w:tr>
      <w:tr w:rsidR="00714366" w14:paraId="1CCC8D46" w14:textId="77777777" w:rsidTr="00C8306D">
        <w:tc>
          <w:tcPr>
            <w:tcW w:w="3132" w:type="dxa"/>
          </w:tcPr>
          <w:p w14:paraId="5B9A91E8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Teaching</w:t>
            </w:r>
            <w:r w:rsidR="00465279" w:rsidRPr="00542FD0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Weekly</w:t>
            </w:r>
            <w:r w:rsidR="00C122B0" w:rsidRPr="00542FD0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Semester</w:t>
            </w:r>
            <w:r w:rsidR="00C122B0" w:rsidRPr="00542FD0">
              <w:rPr>
                <w:rFonts w:ascii="Calibri" w:hAnsi="Calibri" w:cs="Calibri"/>
                <w:color w:val="000000" w:themeColor="text1"/>
              </w:rPr>
              <w:t xml:space="preserve"> (hours)</w:t>
            </w:r>
          </w:p>
          <w:p w14:paraId="5697E8D8" w14:textId="77777777" w:rsidR="00465279" w:rsidRPr="00542FD0" w:rsidRDefault="00465279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7F0022C5" w14:textId="77777777" w:rsidTr="00C8306D">
        <w:tc>
          <w:tcPr>
            <w:tcW w:w="3132" w:type="dxa"/>
          </w:tcPr>
          <w:p w14:paraId="6E5471FF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Lectures:</w:t>
            </w:r>
          </w:p>
        </w:tc>
        <w:tc>
          <w:tcPr>
            <w:tcW w:w="3132" w:type="dxa"/>
          </w:tcPr>
          <w:p w14:paraId="38A62CFD" w14:textId="3800A625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3</w:t>
            </w:r>
          </w:p>
        </w:tc>
        <w:tc>
          <w:tcPr>
            <w:tcW w:w="3132" w:type="dxa"/>
          </w:tcPr>
          <w:p w14:paraId="5A18A85F" w14:textId="2E7A9098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45</w:t>
            </w:r>
          </w:p>
        </w:tc>
      </w:tr>
      <w:tr w:rsidR="00714366" w14:paraId="393B58D6" w14:textId="77777777" w:rsidTr="00C8306D">
        <w:tc>
          <w:tcPr>
            <w:tcW w:w="3132" w:type="dxa"/>
          </w:tcPr>
          <w:p w14:paraId="4342CCBD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Exercises:</w:t>
            </w:r>
          </w:p>
        </w:tc>
        <w:tc>
          <w:tcPr>
            <w:tcW w:w="3132" w:type="dxa"/>
          </w:tcPr>
          <w:p w14:paraId="74B53B29" w14:textId="2610D3AF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0</w:t>
            </w:r>
          </w:p>
        </w:tc>
        <w:tc>
          <w:tcPr>
            <w:tcW w:w="3132" w:type="dxa"/>
          </w:tcPr>
          <w:p w14:paraId="67AB7F31" w14:textId="3A0A5860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0</w:t>
            </w:r>
          </w:p>
        </w:tc>
      </w:tr>
      <w:tr w:rsidR="00714366" w14:paraId="72818140" w14:textId="77777777" w:rsidTr="00C8306D">
        <w:tc>
          <w:tcPr>
            <w:tcW w:w="3132" w:type="dxa"/>
          </w:tcPr>
          <w:p w14:paraId="34CBE202" w14:textId="77777777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Seminars:</w:t>
            </w:r>
          </w:p>
        </w:tc>
        <w:tc>
          <w:tcPr>
            <w:tcW w:w="3132" w:type="dxa"/>
          </w:tcPr>
          <w:p w14:paraId="0CAA3F85" w14:textId="0BF2AD11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1</w:t>
            </w:r>
          </w:p>
        </w:tc>
        <w:tc>
          <w:tcPr>
            <w:tcW w:w="3132" w:type="dxa"/>
          </w:tcPr>
          <w:p w14:paraId="7A538E28" w14:textId="4FA3237B" w:rsidR="00714366" w:rsidRPr="00542FD0" w:rsidRDefault="00933642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 w:rsidRPr="00542FD0">
              <w:rPr>
                <w:rFonts w:ascii="Calibri" w:hAnsi="Calibri" w:cs="Calibri"/>
                <w:bCs/>
                <w:iCs/>
                <w:color w:val="000000" w:themeColor="text1"/>
              </w:rPr>
              <w:t>15</w:t>
            </w:r>
          </w:p>
        </w:tc>
      </w:tr>
      <w:tr w:rsidR="00714366" w14:paraId="0D2474DC" w14:textId="77777777" w:rsidTr="00C8306D">
        <w:tc>
          <w:tcPr>
            <w:tcW w:w="9396" w:type="dxa"/>
            <w:gridSpan w:val="3"/>
          </w:tcPr>
          <w:p w14:paraId="6D4863AA" w14:textId="31E17269" w:rsidR="00714366" w:rsidRPr="00542FD0" w:rsidRDefault="005D7B91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ECTS:</w:t>
            </w:r>
            <w:r w:rsidR="008C21E0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C21E0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5</w:t>
            </w:r>
          </w:p>
        </w:tc>
      </w:tr>
      <w:tr w:rsidR="00BC2B7F" w14:paraId="4CAC54D7" w14:textId="77777777" w:rsidTr="00C8306D">
        <w:tc>
          <w:tcPr>
            <w:tcW w:w="9396" w:type="dxa"/>
            <w:gridSpan w:val="3"/>
          </w:tcPr>
          <w:p w14:paraId="4AA3D864" w14:textId="7683C5CC" w:rsidR="00BC2B7F" w:rsidRPr="00542FD0" w:rsidRDefault="00BC2B7F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Teaching language and level</w:t>
            </w:r>
            <w:r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5"/>
            </w:r>
            <w:r w:rsidRPr="00542FD0">
              <w:rPr>
                <w:rFonts w:ascii="Calibri" w:hAnsi="Calibri" w:cs="Calibri"/>
                <w:color w:val="000000" w:themeColor="text1"/>
              </w:rPr>
              <w:t xml:space="preserve">  for guest (exchange) students:</w:t>
            </w:r>
            <w:r w:rsidR="00933642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3642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B2</w:t>
            </w:r>
          </w:p>
          <w:p w14:paraId="0AB13E36" w14:textId="77777777" w:rsidR="00C64195" w:rsidRPr="00542FD0" w:rsidRDefault="00C64195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C2B7F" w14:paraId="10953B36" w14:textId="77777777" w:rsidTr="00C8306D">
        <w:tc>
          <w:tcPr>
            <w:tcW w:w="9396" w:type="dxa"/>
            <w:gridSpan w:val="3"/>
          </w:tcPr>
          <w:p w14:paraId="0A3F90EE" w14:textId="7859FDCD" w:rsidR="00BC2B7F" w:rsidRPr="00542FD0" w:rsidRDefault="00BC2B7F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Teaching Methods</w:t>
            </w:r>
            <w:r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6"/>
            </w:r>
            <w:r w:rsidRPr="00542FD0">
              <w:rPr>
                <w:rFonts w:ascii="Calibri" w:hAnsi="Calibri" w:cs="Calibri"/>
                <w:color w:val="000000" w:themeColor="text1"/>
              </w:rPr>
              <w:t xml:space="preserve"> for guest (exchange) students:</w:t>
            </w:r>
            <w:r w:rsidR="008C21E0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C21E0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L2</w:t>
            </w:r>
          </w:p>
          <w:p w14:paraId="43A79F40" w14:textId="62F4863E" w:rsidR="00C64195" w:rsidRPr="00542FD0" w:rsidRDefault="00C8306D" w:rsidP="00C8306D">
            <w:pPr>
              <w:tabs>
                <w:tab w:val="left" w:pos="1505"/>
              </w:tabs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ab/>
            </w:r>
          </w:p>
        </w:tc>
      </w:tr>
      <w:tr w:rsidR="00EB59AF" w14:paraId="760FFB4F" w14:textId="77777777" w:rsidTr="00C8306D">
        <w:tc>
          <w:tcPr>
            <w:tcW w:w="9396" w:type="dxa"/>
            <w:gridSpan w:val="3"/>
          </w:tcPr>
          <w:p w14:paraId="480D3BBE" w14:textId="3F82D8B0" w:rsidR="00EB59AF" w:rsidRPr="00542FD0" w:rsidRDefault="003804F7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Evaluation</w:t>
            </w:r>
            <w:r w:rsidR="00EB59AF" w:rsidRPr="00542FD0">
              <w:rPr>
                <w:rFonts w:ascii="Calibri" w:hAnsi="Calibri" w:cs="Calibri"/>
                <w:color w:val="000000" w:themeColor="text1"/>
              </w:rPr>
              <w:t xml:space="preserve"> Methods</w:t>
            </w:r>
            <w:r w:rsidR="00D12733"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7"/>
            </w:r>
            <w:r w:rsidR="00381EEA" w:rsidRPr="00542FD0">
              <w:rPr>
                <w:rFonts w:ascii="Calibri" w:hAnsi="Calibri" w:cs="Calibri"/>
                <w:color w:val="000000" w:themeColor="text1"/>
              </w:rPr>
              <w:t xml:space="preserve"> and Grading</w:t>
            </w:r>
            <w:r w:rsidR="00D12733" w:rsidRPr="00542FD0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8"/>
            </w:r>
            <w:r w:rsidR="00381EEA" w:rsidRPr="00542FD0">
              <w:rPr>
                <w:rFonts w:ascii="Calibri" w:hAnsi="Calibri" w:cs="Calibri"/>
                <w:color w:val="000000" w:themeColor="text1"/>
              </w:rPr>
              <w:t>:</w:t>
            </w:r>
            <w:r w:rsidR="008C21E0" w:rsidRPr="00542FD0">
              <w:rPr>
                <w:bCs/>
                <w:iCs/>
                <w:color w:val="000000" w:themeColor="text1"/>
              </w:rPr>
              <w:t xml:space="preserve"> </w:t>
            </w:r>
            <w:r w:rsidR="008C21E0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Class attendance, oral exam; Standard</w:t>
            </w:r>
          </w:p>
          <w:p w14:paraId="3EB9B98C" w14:textId="77777777" w:rsidR="00EB59AF" w:rsidRPr="00542FD0" w:rsidRDefault="00EB59AF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14:paraId="1563DCE9" w14:textId="77777777" w:rsidTr="00C8306D">
        <w:tc>
          <w:tcPr>
            <w:tcW w:w="9396" w:type="dxa"/>
            <w:gridSpan w:val="3"/>
          </w:tcPr>
          <w:p w14:paraId="5E290287" w14:textId="4B55A106" w:rsidR="00714366" w:rsidRPr="00542FD0" w:rsidRDefault="005D7B91" w:rsidP="00C8306D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t>Learning Outcomes:</w:t>
            </w:r>
            <w:r w:rsidR="008C21E0" w:rsidRPr="00542FD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5569D" w:rsidRPr="00542FD0">
              <w:rPr>
                <w:color w:val="000000" w:themeColor="text1"/>
              </w:rPr>
              <w:t xml:space="preserve"> 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The student will be able to explain the historical and cultural circumstances that preceded the Ukrainian literature of this </w:t>
            </w:r>
            <w:proofErr w:type="gramStart"/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period,</w:t>
            </w:r>
            <w:proofErr w:type="gramEnd"/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name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the basic literary directions and genre-specific features and connect the literary process of the given </w:t>
            </w:r>
            <w:r w:rsidR="00AE4947" w:rsidRPr="00542FD0">
              <w:rPr>
                <w:rFonts w:ascii="Calibri" w:hAnsi="Calibri" w:cs="Calibri"/>
                <w:bCs/>
                <w:iCs/>
                <w:color w:val="000000" w:themeColor="text1"/>
              </w:rPr>
              <w:t>period</w:t>
            </w:r>
            <w:r w:rsidR="0065569D" w:rsidRPr="00542FD0">
              <w:rPr>
                <w:rFonts w:ascii="Calibri" w:hAnsi="Calibri" w:cs="Calibri"/>
                <w:bCs/>
                <w:iCs/>
                <w:color w:val="000000" w:themeColor="text1"/>
              </w:rPr>
              <w:t xml:space="preserve"> with the philosophical thought of the XIX century Ukrainian and European society.</w:t>
            </w:r>
          </w:p>
          <w:p w14:paraId="6652E68F" w14:textId="77777777" w:rsidR="00EB59AF" w:rsidRPr="00542FD0" w:rsidRDefault="00EB59AF" w:rsidP="00C8306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714366" w:rsidRPr="0065569D" w14:paraId="26F5FBCF" w14:textId="77777777" w:rsidTr="00C8306D">
        <w:tc>
          <w:tcPr>
            <w:tcW w:w="9396" w:type="dxa"/>
            <w:gridSpan w:val="3"/>
          </w:tcPr>
          <w:p w14:paraId="331E8BC5" w14:textId="3CE156E8" w:rsidR="00714366" w:rsidRPr="00542FD0" w:rsidRDefault="00EB59AF" w:rsidP="00C8306D">
            <w:pPr>
              <w:rPr>
                <w:rFonts w:ascii="Calibri" w:hAnsi="Calibri" w:cs="Calibri"/>
                <w:color w:val="000000" w:themeColor="text1"/>
              </w:rPr>
            </w:pPr>
            <w:r w:rsidRPr="00542FD0">
              <w:rPr>
                <w:rFonts w:ascii="Calibri" w:hAnsi="Calibri" w:cs="Calibri"/>
                <w:color w:val="000000" w:themeColor="text1"/>
              </w:rPr>
              <w:lastRenderedPageBreak/>
              <w:t>Literature:</w:t>
            </w:r>
          </w:p>
          <w:p w14:paraId="2BCFDC59" w14:textId="77777777" w:rsidR="00C8306D" w:rsidRPr="00542FD0" w:rsidRDefault="00C8306D" w:rsidP="00C8306D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</w:p>
          <w:p w14:paraId="19501BEC" w14:textId="77777777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Čyževs'kyj, D. I. 2009. 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 xml:space="preserve">Istorija ukrajins’koji literatury.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Vydavnyčyj centr. Kyjiv.</w:t>
            </w:r>
          </w:p>
          <w:p w14:paraId="314BFD82" w14:textId="77777777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Hrvatska ševčenkiana.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>2011. U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r.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Paščenko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>, J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. Zagreb.</w:t>
            </w:r>
          </w:p>
          <w:p w14:paraId="4B4936B9" w14:textId="77777777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Najenko,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M.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2012. 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Hudožnja litera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hr-HR" w:eastAsia="zh-CN"/>
              </w:rPr>
              <w:t>tu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 xml:space="preserve">ra Ukrajiny. Vid mifiv do real’nosti.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>Prosvita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. Kyjiv.</w:t>
            </w:r>
          </w:p>
          <w:p w14:paraId="52C53085" w14:textId="77777777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Solod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, J. 2008. 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Ukrajins’ka klasyčna lite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hr-HR" w:eastAsia="zh-CN"/>
              </w:rPr>
              <w:t>ratura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 Svitlo znan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uk-UA" w:eastAsia="zh-CN"/>
              </w:rPr>
              <w:t>’.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 Kyjiv.</w:t>
            </w:r>
          </w:p>
          <w:p w14:paraId="71E34BEF" w14:textId="77777777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Ukrajins'ka literatura u portretah i dovidkah. Davnja literatura - literatura XIX st.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 2000.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Ur. Denysjuk, S. P. i dr.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Kyjiv.</w:t>
            </w:r>
          </w:p>
          <w:p w14:paraId="37E50610" w14:textId="68265F90" w:rsidR="00C8306D" w:rsidRPr="00542FD0" w:rsidRDefault="00C8306D" w:rsidP="00C830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55"/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</w:pP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Žulyns’kyj,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 M. G. i dr. 2006.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 xml:space="preserve"> 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>Istorija ukrajins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uk-UA" w:eastAsia="zh-CN"/>
              </w:rPr>
              <w:t>’</w:t>
            </w:r>
            <w:r w:rsidRPr="00542FD0">
              <w:rPr>
                <w:rFonts w:ascii="Calibri" w:eastAsiaTheme="minorEastAsia" w:hAnsi="Calibri" w:cs="Calibri"/>
                <w:bCs/>
                <w:iCs/>
                <w:color w:val="000000" w:themeColor="text1"/>
                <w:lang w:val="az-Cyrl-AZ" w:eastAsia="zh-CN"/>
              </w:rPr>
              <w:t xml:space="preserve">koji literatury XIX stolittja. Knyga drugа.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>Lybid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uk-UA" w:eastAsia="zh-CN"/>
              </w:rPr>
              <w:t>’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hr-HR" w:eastAsia="zh-CN"/>
              </w:rPr>
              <w:t xml:space="preserve">. </w:t>
            </w:r>
            <w:r w:rsidRPr="00542FD0">
              <w:rPr>
                <w:rFonts w:ascii="Calibri" w:eastAsiaTheme="minorEastAsia" w:hAnsi="Calibri" w:cs="Calibri"/>
                <w:bCs/>
                <w:color w:val="000000" w:themeColor="text1"/>
                <w:lang w:val="az-Cyrl-AZ" w:eastAsia="zh-CN"/>
              </w:rPr>
              <w:t>Kyjiv.</w:t>
            </w:r>
          </w:p>
          <w:p w14:paraId="35E4D617" w14:textId="0451FA85" w:rsidR="00EB59AF" w:rsidRPr="00542FD0" w:rsidRDefault="00EB59AF" w:rsidP="00C8306D">
            <w:pPr>
              <w:ind w:left="11"/>
              <w:contextualSpacing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lang w:val="az-Cyrl-AZ" w:eastAsia="zh-CN"/>
              </w:rPr>
            </w:pPr>
          </w:p>
        </w:tc>
      </w:tr>
    </w:tbl>
    <w:p w14:paraId="73080D1F" w14:textId="77777777" w:rsidR="00F117E5" w:rsidRDefault="00F117E5" w:rsidP="00714366"/>
    <w:sectPr w:rsidR="00F117E5" w:rsidSect="00C8306D">
      <w:headerReference w:type="default" r:id="rId8"/>
      <w:pgSz w:w="12240" w:h="15840"/>
      <w:pgMar w:top="113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E61A" w14:textId="77777777" w:rsidR="006F7B23" w:rsidRDefault="006F7B23" w:rsidP="00714366">
      <w:pPr>
        <w:spacing w:after="0" w:line="240" w:lineRule="auto"/>
      </w:pPr>
      <w:r>
        <w:separator/>
      </w:r>
    </w:p>
  </w:endnote>
  <w:endnote w:type="continuationSeparator" w:id="0">
    <w:p w14:paraId="0DCD92EC" w14:textId="77777777" w:rsidR="006F7B23" w:rsidRDefault="006F7B2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4A07" w14:textId="77777777" w:rsidR="006F7B23" w:rsidRDefault="006F7B23" w:rsidP="00714366">
      <w:pPr>
        <w:spacing w:after="0" w:line="240" w:lineRule="auto"/>
      </w:pPr>
      <w:r>
        <w:separator/>
      </w:r>
    </w:p>
  </w:footnote>
  <w:footnote w:type="continuationSeparator" w:id="0">
    <w:p w14:paraId="3D89B31A" w14:textId="77777777" w:rsidR="006F7B23" w:rsidRDefault="006F7B23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DD63" w14:textId="77777777" w:rsidR="00C8306D" w:rsidRDefault="00C8306D" w:rsidP="00C8306D">
    <w:pPr>
      <w:jc w:val="center"/>
      <w:rPr>
        <w:b/>
        <w:color w:val="0070C0"/>
        <w:sz w:val="36"/>
        <w:szCs w:val="36"/>
      </w:rPr>
    </w:pPr>
  </w:p>
  <w:p w14:paraId="1D73F958" w14:textId="74C7CD9F" w:rsidR="00C8306D" w:rsidRPr="00C8306D" w:rsidRDefault="00C8306D" w:rsidP="00C8306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COURSE CATALOGUE FOR GU</w:t>
    </w:r>
    <w:r w:rsidRPr="003E03D6">
      <w:rPr>
        <w:b/>
        <w:color w:val="0070C0"/>
        <w:sz w:val="36"/>
        <w:szCs w:val="36"/>
      </w:rPr>
      <w:t>EST (EXCHANGE)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0B2"/>
    <w:multiLevelType w:val="hybridMultilevel"/>
    <w:tmpl w:val="CF0CA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41A2F"/>
    <w:multiLevelType w:val="hybridMultilevel"/>
    <w:tmpl w:val="4A62FB1C"/>
    <w:lvl w:ilvl="0" w:tplc="041A000F">
      <w:start w:val="1"/>
      <w:numFmt w:val="decimal"/>
      <w:lvlText w:val="%1."/>
      <w:lvlJc w:val="left"/>
      <w:pPr>
        <w:ind w:left="892" w:hanging="360"/>
      </w:pPr>
    </w:lvl>
    <w:lvl w:ilvl="1" w:tplc="041A0019" w:tentative="1">
      <w:start w:val="1"/>
      <w:numFmt w:val="lowerLetter"/>
      <w:lvlText w:val="%2."/>
      <w:lvlJc w:val="left"/>
      <w:pPr>
        <w:ind w:left="1612" w:hanging="360"/>
      </w:pPr>
    </w:lvl>
    <w:lvl w:ilvl="2" w:tplc="041A001B" w:tentative="1">
      <w:start w:val="1"/>
      <w:numFmt w:val="lowerRoman"/>
      <w:lvlText w:val="%3."/>
      <w:lvlJc w:val="right"/>
      <w:pPr>
        <w:ind w:left="2332" w:hanging="180"/>
      </w:pPr>
    </w:lvl>
    <w:lvl w:ilvl="3" w:tplc="041A000F" w:tentative="1">
      <w:start w:val="1"/>
      <w:numFmt w:val="decimal"/>
      <w:lvlText w:val="%4."/>
      <w:lvlJc w:val="left"/>
      <w:pPr>
        <w:ind w:left="3052" w:hanging="360"/>
      </w:pPr>
    </w:lvl>
    <w:lvl w:ilvl="4" w:tplc="041A0019" w:tentative="1">
      <w:start w:val="1"/>
      <w:numFmt w:val="lowerLetter"/>
      <w:lvlText w:val="%5."/>
      <w:lvlJc w:val="left"/>
      <w:pPr>
        <w:ind w:left="3772" w:hanging="360"/>
      </w:pPr>
    </w:lvl>
    <w:lvl w:ilvl="5" w:tplc="041A001B" w:tentative="1">
      <w:start w:val="1"/>
      <w:numFmt w:val="lowerRoman"/>
      <w:lvlText w:val="%6."/>
      <w:lvlJc w:val="right"/>
      <w:pPr>
        <w:ind w:left="4492" w:hanging="180"/>
      </w:pPr>
    </w:lvl>
    <w:lvl w:ilvl="6" w:tplc="041A000F" w:tentative="1">
      <w:start w:val="1"/>
      <w:numFmt w:val="decimal"/>
      <w:lvlText w:val="%7."/>
      <w:lvlJc w:val="left"/>
      <w:pPr>
        <w:ind w:left="5212" w:hanging="360"/>
      </w:pPr>
    </w:lvl>
    <w:lvl w:ilvl="7" w:tplc="041A0019" w:tentative="1">
      <w:start w:val="1"/>
      <w:numFmt w:val="lowerLetter"/>
      <w:lvlText w:val="%8."/>
      <w:lvlJc w:val="left"/>
      <w:pPr>
        <w:ind w:left="5932" w:hanging="360"/>
      </w:pPr>
    </w:lvl>
    <w:lvl w:ilvl="8" w:tplc="041A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7E6828DB"/>
    <w:multiLevelType w:val="hybridMultilevel"/>
    <w:tmpl w:val="120E071A"/>
    <w:lvl w:ilvl="0" w:tplc="041A000F">
      <w:start w:val="1"/>
      <w:numFmt w:val="decimal"/>
      <w:lvlText w:val="%1.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1C61AE"/>
    <w:rsid w:val="00230887"/>
    <w:rsid w:val="00297469"/>
    <w:rsid w:val="003804F7"/>
    <w:rsid w:val="00381EEA"/>
    <w:rsid w:val="00394419"/>
    <w:rsid w:val="003B1E7C"/>
    <w:rsid w:val="003E03D6"/>
    <w:rsid w:val="00465279"/>
    <w:rsid w:val="00525147"/>
    <w:rsid w:val="00542FD0"/>
    <w:rsid w:val="00575F1F"/>
    <w:rsid w:val="005D7B91"/>
    <w:rsid w:val="0062222F"/>
    <w:rsid w:val="0065569D"/>
    <w:rsid w:val="00662550"/>
    <w:rsid w:val="00675172"/>
    <w:rsid w:val="006F7B23"/>
    <w:rsid w:val="00714366"/>
    <w:rsid w:val="007254DF"/>
    <w:rsid w:val="007E09CB"/>
    <w:rsid w:val="008C21E0"/>
    <w:rsid w:val="009047B0"/>
    <w:rsid w:val="0092582F"/>
    <w:rsid w:val="0092770B"/>
    <w:rsid w:val="00933642"/>
    <w:rsid w:val="00966206"/>
    <w:rsid w:val="00966E70"/>
    <w:rsid w:val="009C6004"/>
    <w:rsid w:val="00A01504"/>
    <w:rsid w:val="00AB04BF"/>
    <w:rsid w:val="00AC000C"/>
    <w:rsid w:val="00AD64A3"/>
    <w:rsid w:val="00AE4947"/>
    <w:rsid w:val="00BC2B7F"/>
    <w:rsid w:val="00C122B0"/>
    <w:rsid w:val="00C64195"/>
    <w:rsid w:val="00C8306D"/>
    <w:rsid w:val="00CD030E"/>
    <w:rsid w:val="00CE741A"/>
    <w:rsid w:val="00D06704"/>
    <w:rsid w:val="00D12733"/>
    <w:rsid w:val="00D933EA"/>
    <w:rsid w:val="00E203E8"/>
    <w:rsid w:val="00E471DE"/>
    <w:rsid w:val="00E83468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62FD1"/>
  <w15:docId w15:val="{2933E637-8BB6-471C-BE53-CC4A3C8A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6D"/>
  </w:style>
  <w:style w:type="paragraph" w:styleId="Footer">
    <w:name w:val="footer"/>
    <w:basedOn w:val="Normal"/>
    <w:link w:val="FooterChar"/>
    <w:uiPriority w:val="99"/>
    <w:unhideWhenUsed/>
    <w:rsid w:val="00C83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972E-5416-4FBE-804E-2912017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2019-03-03T18:46:00Z</dcterms:created>
  <dcterms:modified xsi:type="dcterms:W3CDTF">2019-04-25T07:23:00Z</dcterms:modified>
</cp:coreProperties>
</file>