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32"/>
        <w:gridCol w:w="3132"/>
        <w:gridCol w:w="3805"/>
      </w:tblGrid>
      <w:tr w:rsidR="00796725" w:rsidRPr="00877C97" w:rsidTr="002E33D5">
        <w:trPr>
          <w:trHeight w:val="420"/>
        </w:trPr>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 xml:space="preserve">STUDY PROGRAMME: </w:t>
            </w:r>
            <w:r>
              <w:rPr>
                <w:rFonts w:eastAsia="SimSun"/>
              </w:rPr>
              <w:t xml:space="preserve"> </w:t>
            </w:r>
            <w:r w:rsidRPr="0022553F">
              <w:rPr>
                <w:rFonts w:cs="Calibri"/>
                <w:b/>
              </w:rPr>
              <w:t>South Slavic languages and literatures</w:t>
            </w:r>
          </w:p>
          <w:p w:rsidR="00796725" w:rsidRPr="00877C97" w:rsidRDefault="00796725" w:rsidP="002E33D5">
            <w:pPr>
              <w:spacing w:after="0" w:line="240" w:lineRule="auto"/>
              <w:rPr>
                <w:rFonts w:eastAsia="SimSun"/>
              </w:rPr>
            </w:pPr>
          </w:p>
        </w:tc>
      </w:tr>
      <w:tr w:rsidR="00796725" w:rsidRPr="00877C97" w:rsidTr="002E33D5">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color w:val="FF0000"/>
              </w:rPr>
            </w:pPr>
            <w:r w:rsidRPr="00877C97">
              <w:rPr>
                <w:rFonts w:eastAsia="SimSun"/>
              </w:rPr>
              <w:t>Level and Year</w:t>
            </w:r>
            <w:r w:rsidRPr="00877C97">
              <w:rPr>
                <w:rFonts w:eastAsia="SimSun"/>
                <w:vertAlign w:val="superscript"/>
              </w:rPr>
              <w:footnoteReference w:id="2"/>
            </w:r>
            <w:r w:rsidRPr="00877C97">
              <w:rPr>
                <w:rFonts w:eastAsia="SimSun"/>
              </w:rPr>
              <w:t xml:space="preserve">:  </w:t>
            </w:r>
            <w:r w:rsidRPr="00651C85">
              <w:rPr>
                <w:rFonts w:eastAsia="SimSun"/>
                <w:color w:val="FF0000"/>
              </w:rPr>
              <w:t>BA, MA</w:t>
            </w:r>
          </w:p>
        </w:tc>
      </w:tr>
      <w:tr w:rsidR="00796725" w:rsidRPr="00877C97" w:rsidTr="002E33D5">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 xml:space="preserve">Course Title: </w:t>
            </w:r>
            <w:r w:rsidRPr="00453BDD">
              <w:rPr>
                <w:rFonts w:eastAsia="SimSun"/>
                <w:b/>
              </w:rPr>
              <w:t>Bulgarian language course 1</w:t>
            </w:r>
          </w:p>
          <w:p w:rsidR="00796725" w:rsidRPr="00877C97" w:rsidRDefault="00796725" w:rsidP="002E33D5">
            <w:pPr>
              <w:spacing w:after="0" w:line="240" w:lineRule="auto"/>
              <w:rPr>
                <w:rFonts w:eastAsia="SimSun"/>
              </w:rPr>
            </w:pPr>
          </w:p>
        </w:tc>
      </w:tr>
      <w:tr w:rsidR="00796725" w:rsidRPr="00877C97" w:rsidTr="002E33D5">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 xml:space="preserve">Course Description: </w:t>
            </w:r>
            <w:r w:rsidRPr="00877C97">
              <w:rPr>
                <w:rFonts w:eastAsia="SimSun"/>
                <w:highlight w:val="white"/>
              </w:rPr>
              <w:t>The course aims at providing basic knowledge on Bulgarian language. It facilitates student’s easier adaptation in the new linguistic and cultural environment. It has a purely pragmatic focus. The course emphasizes on creating and developing communication skills in the most common language situations. Students acquire listening, reading and comprehension skills. </w:t>
            </w:r>
          </w:p>
          <w:p w:rsidR="00796725" w:rsidRPr="00877C97" w:rsidRDefault="00796725" w:rsidP="002E33D5">
            <w:pPr>
              <w:spacing w:after="0" w:line="240" w:lineRule="auto"/>
              <w:rPr>
                <w:rFonts w:eastAsia="SimSun"/>
              </w:rPr>
            </w:pPr>
          </w:p>
          <w:p w:rsidR="00796725" w:rsidRPr="00877C97" w:rsidRDefault="00796725" w:rsidP="002E33D5">
            <w:pPr>
              <w:spacing w:after="0" w:line="240" w:lineRule="auto"/>
              <w:rPr>
                <w:rFonts w:eastAsia="SimSun"/>
              </w:rPr>
            </w:pPr>
          </w:p>
        </w:tc>
      </w:tr>
      <w:tr w:rsidR="00796725" w:rsidRPr="00877C97" w:rsidTr="002E33D5">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color w:val="FF0000"/>
              </w:rPr>
            </w:pPr>
            <w:r w:rsidRPr="00877C97">
              <w:rPr>
                <w:rFonts w:eastAsia="SimSun"/>
              </w:rPr>
              <w:t>Semester</w:t>
            </w:r>
            <w:r w:rsidRPr="00877C97">
              <w:rPr>
                <w:rFonts w:eastAsia="SimSun"/>
                <w:vertAlign w:val="superscript"/>
              </w:rPr>
              <w:footnoteReference w:id="3"/>
            </w:r>
            <w:r w:rsidRPr="00877C97">
              <w:rPr>
                <w:rFonts w:eastAsia="SimSun"/>
              </w:rPr>
              <w:t xml:space="preserve">: </w:t>
            </w:r>
            <w:r w:rsidRPr="00651C85">
              <w:rPr>
                <w:rFonts w:eastAsia="SimSun"/>
                <w:color w:val="FF0000"/>
              </w:rPr>
              <w:t>Winter</w:t>
            </w:r>
          </w:p>
        </w:tc>
      </w:tr>
      <w:tr w:rsidR="00796725" w:rsidRPr="00877C97" w:rsidTr="002E33D5">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Lecturer(s)/Teacher(s): dr.sc. Evelina Grozdanova</w:t>
            </w:r>
          </w:p>
          <w:p w:rsidR="00796725" w:rsidRPr="00877C97" w:rsidRDefault="00796725" w:rsidP="002E33D5">
            <w:pPr>
              <w:spacing w:after="0" w:line="240" w:lineRule="auto"/>
              <w:rPr>
                <w:rFonts w:eastAsia="SimSun"/>
              </w:rPr>
            </w:pPr>
          </w:p>
        </w:tc>
      </w:tr>
      <w:tr w:rsidR="00796725" w:rsidRPr="00877C97" w:rsidTr="002E33D5">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Teaching Language (regular)</w:t>
            </w:r>
            <w:r w:rsidRPr="00877C97">
              <w:rPr>
                <w:rFonts w:eastAsia="SimSun"/>
                <w:vertAlign w:val="superscript"/>
              </w:rPr>
              <w:footnoteReference w:id="4"/>
            </w:r>
            <w:r w:rsidRPr="00877C97">
              <w:rPr>
                <w:rFonts w:eastAsia="SimSun"/>
              </w:rPr>
              <w:t>: Bulgarian, Croatian</w:t>
            </w:r>
          </w:p>
        </w:tc>
      </w:tr>
      <w:tr w:rsidR="00796725" w:rsidRPr="00877C97" w:rsidTr="002E33D5">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Teaching Methods (regular):</w:t>
            </w:r>
            <w:r w:rsidRPr="00877C97">
              <w:rPr>
                <w:rFonts w:eastAsia="SimSun"/>
                <w:vertAlign w:val="superscript"/>
              </w:rPr>
              <w:footnoteReference w:id="5"/>
            </w:r>
            <w:r w:rsidRPr="00877C97">
              <w:rPr>
                <w:rFonts w:eastAsia="SimSun"/>
              </w:rPr>
              <w:t xml:space="preserve">  Teaching through exercises</w:t>
            </w:r>
          </w:p>
        </w:tc>
      </w:tr>
      <w:tr w:rsidR="00796725" w:rsidRPr="00877C97" w:rsidTr="002E33D5">
        <w:tc>
          <w:tcPr>
            <w:tcW w:w="3132" w:type="dxa"/>
          </w:tcPr>
          <w:p w:rsidR="00796725" w:rsidRPr="00877C97" w:rsidRDefault="00796725" w:rsidP="002E33D5">
            <w:pPr>
              <w:spacing w:after="0" w:line="240" w:lineRule="auto"/>
              <w:rPr>
                <w:rFonts w:eastAsia="SimSun"/>
              </w:rPr>
            </w:pPr>
            <w:r w:rsidRPr="00877C97">
              <w:rPr>
                <w:rFonts w:eastAsia="SimSun"/>
              </w:rPr>
              <w:t>Teaching:</w:t>
            </w:r>
          </w:p>
        </w:tc>
        <w:tc>
          <w:tcPr>
            <w:tcW w:w="3132" w:type="dxa"/>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Weekly (hours)</w:t>
            </w:r>
          </w:p>
        </w:tc>
        <w:tc>
          <w:tcPr>
            <w:tcW w:w="3805" w:type="dxa"/>
            <w:tcMar>
              <w:left w:w="108" w:type="dxa"/>
              <w:right w:w="108" w:type="dxa"/>
            </w:tcMar>
          </w:tcPr>
          <w:p w:rsidR="00796725" w:rsidRPr="00877C97" w:rsidRDefault="00796725" w:rsidP="002E33D5">
            <w:pPr>
              <w:spacing w:after="0" w:line="240" w:lineRule="auto"/>
              <w:rPr>
                <w:rFonts w:eastAsia="SimSun"/>
              </w:rPr>
            </w:pPr>
            <w:r w:rsidRPr="00877C97">
              <w:rPr>
                <w:rFonts w:eastAsia="SimSun"/>
              </w:rPr>
              <w:t>Semester (hours)</w:t>
            </w:r>
          </w:p>
          <w:p w:rsidR="00796725" w:rsidRPr="00877C97" w:rsidRDefault="00796725" w:rsidP="002E33D5">
            <w:pPr>
              <w:spacing w:after="0" w:line="240" w:lineRule="auto"/>
              <w:rPr>
                <w:rFonts w:eastAsia="SimSun"/>
              </w:rPr>
            </w:pPr>
          </w:p>
        </w:tc>
      </w:tr>
      <w:tr w:rsidR="00796725" w:rsidRPr="00877C97" w:rsidTr="002E33D5">
        <w:tc>
          <w:tcPr>
            <w:tcW w:w="3132" w:type="dxa"/>
          </w:tcPr>
          <w:p w:rsidR="00796725" w:rsidRPr="00877C97" w:rsidRDefault="00796725" w:rsidP="002E33D5">
            <w:pPr>
              <w:spacing w:after="0" w:line="240" w:lineRule="auto"/>
              <w:rPr>
                <w:rFonts w:eastAsia="SimSun"/>
              </w:rPr>
            </w:pPr>
            <w:r w:rsidRPr="00877C97">
              <w:rPr>
                <w:rFonts w:eastAsia="SimSun"/>
              </w:rPr>
              <w:t>Lectures:</w:t>
            </w:r>
          </w:p>
        </w:tc>
        <w:tc>
          <w:tcPr>
            <w:tcW w:w="3132" w:type="dxa"/>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0</w:t>
            </w:r>
          </w:p>
        </w:tc>
        <w:tc>
          <w:tcPr>
            <w:tcW w:w="3805" w:type="dxa"/>
            <w:tcMar>
              <w:left w:w="108" w:type="dxa"/>
              <w:right w:w="108" w:type="dxa"/>
            </w:tcMar>
          </w:tcPr>
          <w:p w:rsidR="00796725" w:rsidRPr="00877C97" w:rsidRDefault="00796725" w:rsidP="002E33D5">
            <w:pPr>
              <w:spacing w:after="0" w:line="240" w:lineRule="auto"/>
              <w:rPr>
                <w:rFonts w:eastAsia="SimSun"/>
              </w:rPr>
            </w:pPr>
            <w:r w:rsidRPr="00877C97">
              <w:rPr>
                <w:rFonts w:eastAsia="SimSun"/>
              </w:rPr>
              <w:t>0</w:t>
            </w:r>
          </w:p>
        </w:tc>
      </w:tr>
      <w:tr w:rsidR="00796725" w:rsidRPr="00877C97" w:rsidTr="002E33D5">
        <w:tc>
          <w:tcPr>
            <w:tcW w:w="3132" w:type="dxa"/>
          </w:tcPr>
          <w:p w:rsidR="00796725" w:rsidRPr="00877C97" w:rsidRDefault="00796725" w:rsidP="002E33D5">
            <w:pPr>
              <w:spacing w:after="0" w:line="240" w:lineRule="auto"/>
              <w:rPr>
                <w:rFonts w:eastAsia="SimSun"/>
              </w:rPr>
            </w:pPr>
            <w:r w:rsidRPr="00877C97">
              <w:rPr>
                <w:rFonts w:eastAsia="SimSun"/>
              </w:rPr>
              <w:t>Exercises:</w:t>
            </w:r>
          </w:p>
        </w:tc>
        <w:tc>
          <w:tcPr>
            <w:tcW w:w="3132" w:type="dxa"/>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2</w:t>
            </w:r>
          </w:p>
        </w:tc>
        <w:tc>
          <w:tcPr>
            <w:tcW w:w="3805" w:type="dxa"/>
            <w:tcMar>
              <w:left w:w="108" w:type="dxa"/>
              <w:right w:w="108" w:type="dxa"/>
            </w:tcMar>
          </w:tcPr>
          <w:p w:rsidR="00796725" w:rsidRPr="00877C97" w:rsidRDefault="00796725" w:rsidP="002E33D5">
            <w:pPr>
              <w:spacing w:after="0" w:line="240" w:lineRule="auto"/>
              <w:rPr>
                <w:rFonts w:eastAsia="SimSun"/>
              </w:rPr>
            </w:pPr>
            <w:r w:rsidRPr="00877C97">
              <w:rPr>
                <w:rFonts w:eastAsia="SimSun"/>
              </w:rPr>
              <w:t>30</w:t>
            </w:r>
          </w:p>
        </w:tc>
      </w:tr>
      <w:tr w:rsidR="00796725" w:rsidRPr="00877C97" w:rsidTr="002E33D5">
        <w:tc>
          <w:tcPr>
            <w:tcW w:w="3132" w:type="dxa"/>
          </w:tcPr>
          <w:p w:rsidR="00796725" w:rsidRPr="00877C97" w:rsidRDefault="00796725" w:rsidP="002E33D5">
            <w:pPr>
              <w:spacing w:after="0" w:line="240" w:lineRule="auto"/>
              <w:rPr>
                <w:rFonts w:eastAsia="SimSun"/>
              </w:rPr>
            </w:pPr>
            <w:r w:rsidRPr="00877C97">
              <w:rPr>
                <w:rFonts w:eastAsia="SimSun"/>
              </w:rPr>
              <w:t>Seminars:</w:t>
            </w:r>
          </w:p>
        </w:tc>
        <w:tc>
          <w:tcPr>
            <w:tcW w:w="3132" w:type="dxa"/>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0</w:t>
            </w:r>
          </w:p>
        </w:tc>
        <w:tc>
          <w:tcPr>
            <w:tcW w:w="3805" w:type="dxa"/>
            <w:tcMar>
              <w:left w:w="108" w:type="dxa"/>
              <w:right w:w="108" w:type="dxa"/>
            </w:tcMar>
          </w:tcPr>
          <w:p w:rsidR="00796725" w:rsidRPr="00877C97" w:rsidRDefault="00796725" w:rsidP="002E33D5">
            <w:pPr>
              <w:spacing w:after="0" w:line="240" w:lineRule="auto"/>
              <w:rPr>
                <w:rFonts w:eastAsia="SimSun"/>
              </w:rPr>
            </w:pPr>
            <w:r w:rsidRPr="00877C97">
              <w:rPr>
                <w:rFonts w:eastAsia="SimSun"/>
              </w:rPr>
              <w:t>0</w:t>
            </w:r>
          </w:p>
        </w:tc>
      </w:tr>
      <w:tr w:rsidR="00796725" w:rsidRPr="00877C97" w:rsidTr="002E33D5">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ECTS: 4</w:t>
            </w:r>
          </w:p>
        </w:tc>
      </w:tr>
      <w:tr w:rsidR="00796725" w:rsidRPr="00877C97" w:rsidTr="002E33D5">
        <w:trPr>
          <w:trHeight w:val="400"/>
        </w:trPr>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Teaching language and level</w:t>
            </w:r>
            <w:r w:rsidRPr="00877C97">
              <w:rPr>
                <w:rFonts w:eastAsia="SimSun"/>
                <w:vertAlign w:val="superscript"/>
              </w:rPr>
              <w:footnoteReference w:id="6"/>
            </w:r>
            <w:r w:rsidRPr="00877C97">
              <w:rPr>
                <w:rFonts w:eastAsia="SimSun"/>
              </w:rPr>
              <w:t xml:space="preserve">  for guest (exchange) students: Bulgarian A1 - A2</w:t>
            </w:r>
          </w:p>
          <w:p w:rsidR="00796725" w:rsidRPr="00877C97" w:rsidRDefault="00796725" w:rsidP="002E33D5">
            <w:pPr>
              <w:spacing w:after="0" w:line="240" w:lineRule="auto"/>
              <w:rPr>
                <w:rFonts w:eastAsia="SimSun"/>
              </w:rPr>
            </w:pPr>
          </w:p>
        </w:tc>
      </w:tr>
      <w:tr w:rsidR="00796725" w:rsidRPr="00877C97" w:rsidTr="002E33D5">
        <w:trPr>
          <w:trHeight w:val="260"/>
        </w:trPr>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Teaching Methods</w:t>
            </w:r>
            <w:r w:rsidRPr="00877C97">
              <w:rPr>
                <w:rFonts w:eastAsia="SimSun"/>
                <w:vertAlign w:val="superscript"/>
              </w:rPr>
              <w:footnoteReference w:id="7"/>
            </w:r>
            <w:r w:rsidRPr="00877C97">
              <w:rPr>
                <w:rFonts w:eastAsia="SimSun"/>
              </w:rPr>
              <w:t xml:space="preserve"> for guest (exchange) students: L1</w:t>
            </w:r>
          </w:p>
          <w:p w:rsidR="00796725" w:rsidRPr="00877C97" w:rsidRDefault="00796725" w:rsidP="002E33D5">
            <w:pPr>
              <w:spacing w:after="0" w:line="240" w:lineRule="auto"/>
              <w:rPr>
                <w:rFonts w:eastAsia="SimSun"/>
              </w:rPr>
            </w:pPr>
          </w:p>
        </w:tc>
      </w:tr>
      <w:tr w:rsidR="00796725" w:rsidRPr="00877C97" w:rsidTr="002E33D5">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Evaluation Methods</w:t>
            </w:r>
            <w:r w:rsidRPr="00877C97">
              <w:rPr>
                <w:rFonts w:eastAsia="SimSun"/>
                <w:vertAlign w:val="superscript"/>
              </w:rPr>
              <w:footnoteReference w:id="8"/>
            </w:r>
            <w:r w:rsidRPr="00877C97">
              <w:rPr>
                <w:rFonts w:eastAsia="SimSun"/>
              </w:rPr>
              <w:t xml:space="preserve"> and Grading</w:t>
            </w:r>
            <w:r w:rsidRPr="00877C97">
              <w:rPr>
                <w:rFonts w:eastAsia="SimSun"/>
                <w:vertAlign w:val="superscript"/>
              </w:rPr>
              <w:footnoteReference w:id="9"/>
            </w:r>
            <w:r w:rsidRPr="00877C97">
              <w:rPr>
                <w:rFonts w:eastAsia="SimSun"/>
              </w:rPr>
              <w:t>:</w:t>
            </w:r>
          </w:p>
          <w:p w:rsidR="00796725" w:rsidRPr="00877C97" w:rsidRDefault="00796725" w:rsidP="002E33D5">
            <w:pPr>
              <w:spacing w:after="0" w:line="240" w:lineRule="auto"/>
              <w:rPr>
                <w:rFonts w:eastAsia="SimSun"/>
              </w:rPr>
            </w:pPr>
            <w:r w:rsidRPr="00877C97">
              <w:rPr>
                <w:rFonts w:eastAsia="SimSun"/>
              </w:rPr>
              <w:t>Class attendance, Written exam, Oral exam. Standard grading.</w:t>
            </w:r>
          </w:p>
        </w:tc>
      </w:tr>
      <w:tr w:rsidR="00796725" w:rsidRPr="00877C97" w:rsidTr="002E33D5">
        <w:trPr>
          <w:trHeight w:val="780"/>
        </w:trPr>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lastRenderedPageBreak/>
              <w:t>Learning Outcomes:</w:t>
            </w:r>
          </w:p>
          <w:p w:rsidR="00796725" w:rsidRPr="00877C97" w:rsidRDefault="00796725" w:rsidP="002E33D5">
            <w:pPr>
              <w:spacing w:after="0" w:line="240" w:lineRule="auto"/>
              <w:rPr>
                <w:rFonts w:eastAsia="SimSun"/>
              </w:rPr>
            </w:pPr>
            <w:r w:rsidRPr="00877C97">
              <w:rPr>
                <w:color w:val="000000"/>
                <w:shd w:val="clear" w:color="auto" w:fill="FFFFFF"/>
              </w:rPr>
              <w:t>A candidate who passes at the basic level demonstrates that s/he can to a</w:t>
            </w:r>
            <w:r w:rsidRPr="00877C97">
              <w:rPr>
                <w:color w:val="000000"/>
              </w:rPr>
              <w:br/>
            </w:r>
            <w:r w:rsidRPr="00877C97">
              <w:rPr>
                <w:color w:val="000000"/>
                <w:shd w:val="clear" w:color="auto" w:fill="FFFFFF"/>
              </w:rPr>
              <w:t>great extent independently communicate in predictable communicative</w:t>
            </w:r>
            <w:r w:rsidRPr="00877C97">
              <w:rPr>
                <w:color w:val="000000"/>
              </w:rPr>
              <w:br/>
            </w:r>
            <w:r w:rsidRPr="00877C97">
              <w:rPr>
                <w:color w:val="000000"/>
                <w:shd w:val="clear" w:color="auto" w:fill="FFFFFF"/>
              </w:rPr>
              <w:t>ituations on everyday topics,</w:t>
            </w:r>
            <w:r w:rsidRPr="00877C97">
              <w:rPr>
                <w:color w:val="000000"/>
              </w:rPr>
              <w:br/>
            </w:r>
            <w:r w:rsidRPr="00877C97">
              <w:rPr>
                <w:color w:val="000000"/>
                <w:shd w:val="clear" w:color="auto" w:fill="FFFFFF"/>
              </w:rPr>
              <w:t>can understand the essential information in short, simple written and</w:t>
            </w:r>
            <w:r w:rsidRPr="00877C97">
              <w:rPr>
                <w:color w:val="000000"/>
              </w:rPr>
              <w:br/>
            </w:r>
            <w:r w:rsidRPr="00877C97">
              <w:rPr>
                <w:color w:val="000000"/>
                <w:shd w:val="clear" w:color="auto" w:fill="FFFFFF"/>
              </w:rPr>
              <w:t>spoken texts,</w:t>
            </w:r>
            <w:r w:rsidRPr="00877C97">
              <w:rPr>
                <w:color w:val="000000"/>
              </w:rPr>
              <w:br/>
            </w:r>
            <w:r w:rsidRPr="00877C97">
              <w:rPr>
                <w:color w:val="000000"/>
                <w:shd w:val="clear" w:color="auto" w:fill="FFFFFF"/>
              </w:rPr>
              <w:t>can, with the aid of prompts, write a short text for everyday use, </w:t>
            </w:r>
            <w:r w:rsidRPr="00877C97">
              <w:rPr>
                <w:rStyle w:val="apple-converted-space"/>
                <w:color w:val="000000"/>
                <w:shd w:val="clear" w:color="auto" w:fill="FFFFFF"/>
              </w:rPr>
              <w:t> </w:t>
            </w:r>
            <w:r w:rsidRPr="00877C97">
              <w:rPr>
                <w:color w:val="000000"/>
              </w:rPr>
              <w:br/>
            </w:r>
            <w:r w:rsidRPr="00877C97">
              <w:rPr>
                <w:color w:val="000000"/>
                <w:shd w:val="clear" w:color="auto" w:fill="FFFFFF"/>
              </w:rPr>
              <w:t>expresses herself/himself in a simple way orally and in writing, but is</w:t>
            </w:r>
            <w:r w:rsidRPr="00877C97">
              <w:rPr>
                <w:color w:val="000000"/>
              </w:rPr>
              <w:br/>
            </w:r>
            <w:r w:rsidRPr="00877C97">
              <w:rPr>
                <w:color w:val="000000"/>
                <w:shd w:val="clear" w:color="auto" w:fill="FFFFFF"/>
              </w:rPr>
              <w:t>able to communicate smoothly.</w:t>
            </w:r>
          </w:p>
        </w:tc>
      </w:tr>
      <w:tr w:rsidR="00796725" w:rsidRPr="00877C97" w:rsidTr="002E33D5">
        <w:tc>
          <w:tcPr>
            <w:tcW w:w="10069" w:type="dxa"/>
            <w:gridSpan w:val="3"/>
            <w:tcMar>
              <w:top w:w="0" w:type="dxa"/>
              <w:left w:w="108" w:type="dxa"/>
              <w:bottom w:w="0" w:type="dxa"/>
              <w:right w:w="108" w:type="dxa"/>
            </w:tcMar>
          </w:tcPr>
          <w:p w:rsidR="00796725" w:rsidRPr="00877C97" w:rsidRDefault="00796725" w:rsidP="002E33D5">
            <w:pPr>
              <w:spacing w:after="0" w:line="240" w:lineRule="auto"/>
              <w:rPr>
                <w:rFonts w:eastAsia="SimSun"/>
              </w:rPr>
            </w:pPr>
            <w:r w:rsidRPr="00877C97">
              <w:rPr>
                <w:rFonts w:eastAsia="SimSun"/>
              </w:rPr>
              <w:t>Literature:</w:t>
            </w:r>
          </w:p>
          <w:p w:rsidR="00796725" w:rsidRPr="00877C97" w:rsidRDefault="00796725" w:rsidP="002E33D5">
            <w:pPr>
              <w:numPr>
                <w:ilvl w:val="0"/>
                <w:numId w:val="1"/>
              </w:numPr>
              <w:spacing w:after="0" w:line="240" w:lineRule="auto"/>
              <w:rPr>
                <w:rFonts w:eastAsia="SimSun"/>
                <w:lang w:val="ru-RU"/>
              </w:rPr>
            </w:pPr>
            <w:r w:rsidRPr="00877C97">
              <w:rPr>
                <w:rFonts w:eastAsia="SimSun"/>
                <w:lang w:val="ru-RU"/>
              </w:rPr>
              <w:t>“Здравейте! Учебник по български език за чужденци А1 - А2”, НБУ, София, 2016</w:t>
            </w:r>
          </w:p>
          <w:p w:rsidR="00796725" w:rsidRPr="00877C97" w:rsidRDefault="00796725" w:rsidP="002E33D5">
            <w:pPr>
              <w:numPr>
                <w:ilvl w:val="0"/>
                <w:numId w:val="1"/>
              </w:numPr>
              <w:spacing w:after="0" w:line="240" w:lineRule="auto"/>
              <w:rPr>
                <w:rFonts w:eastAsia="SimSun"/>
                <w:lang w:val="ru-RU"/>
              </w:rPr>
            </w:pPr>
            <w:r w:rsidRPr="00877C97">
              <w:rPr>
                <w:rFonts w:eastAsia="SimSun"/>
                <w:lang w:val="ru-RU"/>
              </w:rPr>
              <w:t>Бояджиев Т., И. Куцаров, Й. Пенчев (1999) Съвременен български език. Фонетика, словообразуване, морфология, синтаксис.: ИК “Петър Берон”, София. (</w:t>
            </w:r>
            <w:r w:rsidRPr="00877C97">
              <w:rPr>
                <w:rFonts w:eastAsia="SimSun"/>
              </w:rPr>
              <w:t>odabrana</w:t>
            </w:r>
            <w:r w:rsidRPr="00877C97">
              <w:rPr>
                <w:rFonts w:eastAsia="SimSun"/>
                <w:lang w:val="ru-RU"/>
              </w:rPr>
              <w:t xml:space="preserve"> </w:t>
            </w:r>
            <w:r w:rsidRPr="00877C97">
              <w:rPr>
                <w:rFonts w:eastAsia="SimSun"/>
              </w:rPr>
              <w:t>poglavlja</w:t>
            </w:r>
            <w:r w:rsidRPr="00877C97">
              <w:rPr>
                <w:rFonts w:eastAsia="SimSun"/>
                <w:lang w:val="ru-RU"/>
              </w:rPr>
              <w:t>)</w:t>
            </w:r>
          </w:p>
          <w:p w:rsidR="00796725" w:rsidRPr="00877C97" w:rsidRDefault="00796725" w:rsidP="002E33D5">
            <w:pPr>
              <w:numPr>
                <w:ilvl w:val="0"/>
                <w:numId w:val="1"/>
              </w:numPr>
              <w:spacing w:beforeAutospacing="1" w:after="460" w:line="240" w:lineRule="auto"/>
              <w:rPr>
                <w:rFonts w:eastAsia="SimSun"/>
                <w:lang w:val="ru-RU"/>
              </w:rPr>
            </w:pPr>
            <w:r w:rsidRPr="00877C97">
              <w:rPr>
                <w:rFonts w:eastAsia="SimSun"/>
                <w:lang w:val="ru-RU"/>
              </w:rPr>
              <w:t>Пашов, П. (2002) Българска граматика. Хермес, Пловдив.</w:t>
            </w:r>
          </w:p>
          <w:p w:rsidR="00796725" w:rsidRPr="00877C97" w:rsidRDefault="00796725" w:rsidP="002E33D5">
            <w:pPr>
              <w:spacing w:after="0" w:line="240" w:lineRule="auto"/>
              <w:rPr>
                <w:rFonts w:eastAsia="SimSun"/>
                <w:lang w:val="ru-RU"/>
              </w:rPr>
            </w:pP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21B" w:rsidRDefault="0047521B" w:rsidP="00796725">
      <w:pPr>
        <w:spacing w:after="0" w:line="240" w:lineRule="auto"/>
      </w:pPr>
      <w:r>
        <w:separator/>
      </w:r>
    </w:p>
  </w:endnote>
  <w:endnote w:type="continuationSeparator" w:id="1">
    <w:p w:rsidR="0047521B" w:rsidRDefault="0047521B" w:rsidP="0079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21B" w:rsidRDefault="0047521B" w:rsidP="00796725">
      <w:pPr>
        <w:spacing w:after="0" w:line="240" w:lineRule="auto"/>
      </w:pPr>
      <w:r>
        <w:separator/>
      </w:r>
    </w:p>
  </w:footnote>
  <w:footnote w:type="continuationSeparator" w:id="1">
    <w:p w:rsidR="0047521B" w:rsidRDefault="0047521B" w:rsidP="00796725">
      <w:pPr>
        <w:spacing w:after="0" w:line="240" w:lineRule="auto"/>
      </w:pPr>
      <w:r>
        <w:continuationSeparator/>
      </w:r>
    </w:p>
  </w:footnote>
  <w:footnote w:id="2">
    <w:p w:rsidR="00796725" w:rsidRDefault="00796725" w:rsidP="00796725">
      <w:pPr>
        <w:spacing w:after="0" w:line="240" w:lineRule="auto"/>
        <w:jc w:val="both"/>
      </w:pPr>
      <w:r>
        <w:rPr>
          <w:vertAlign w:val="superscript"/>
        </w:rPr>
        <w:footnoteRef/>
      </w:r>
      <w:r>
        <w:rPr>
          <w:sz w:val="20"/>
          <w:szCs w:val="20"/>
        </w:rPr>
        <w:t xml:space="preserve"> BA, MA, PhD; 2</w:t>
      </w:r>
      <w:r>
        <w:rPr>
          <w:sz w:val="20"/>
          <w:szCs w:val="20"/>
          <w:vertAlign w:val="superscript"/>
        </w:rPr>
        <w:t>nd</w:t>
      </w:r>
      <w:r>
        <w:rPr>
          <w:sz w:val="20"/>
          <w:szCs w:val="20"/>
        </w:rPr>
        <w:t xml:space="preserve"> year …</w:t>
      </w:r>
    </w:p>
  </w:footnote>
  <w:footnote w:id="3">
    <w:p w:rsidR="00796725" w:rsidRDefault="00796725" w:rsidP="00796725">
      <w:pPr>
        <w:spacing w:after="0" w:line="240" w:lineRule="auto"/>
        <w:jc w:val="both"/>
      </w:pPr>
      <w:r>
        <w:rPr>
          <w:vertAlign w:val="superscript"/>
        </w:rPr>
        <w:footnoteRef/>
      </w:r>
      <w:r>
        <w:rPr>
          <w:sz w:val="20"/>
          <w:szCs w:val="20"/>
        </w:rPr>
        <w:t xml:space="preserve"> Winter, Summer, Academic Year</w:t>
      </w:r>
    </w:p>
  </w:footnote>
  <w:footnote w:id="4">
    <w:p w:rsidR="00796725" w:rsidRDefault="00796725" w:rsidP="00796725">
      <w:pPr>
        <w:spacing w:after="0" w:line="240" w:lineRule="auto"/>
        <w:jc w:val="both"/>
      </w:pPr>
      <w:r>
        <w:rPr>
          <w:vertAlign w:val="superscript"/>
        </w:rPr>
        <w:footnoteRef/>
      </w:r>
      <w:r>
        <w:rPr>
          <w:color w:val="000000"/>
          <w:sz w:val="20"/>
          <w:szCs w:val="20"/>
        </w:rPr>
        <w:t xml:space="preserve"> Teaching language according to the regular programme (e.g. Croatian, French, Slovenian…)</w:t>
      </w:r>
    </w:p>
  </w:footnote>
  <w:footnote w:id="5">
    <w:p w:rsidR="00796725" w:rsidRDefault="00796725" w:rsidP="00796725">
      <w:pPr>
        <w:spacing w:after="0" w:line="240" w:lineRule="auto"/>
        <w:jc w:val="both"/>
      </w:pPr>
      <w:r>
        <w:rPr>
          <w:vertAlign w:val="superscript"/>
        </w:rPr>
        <w:footnoteRef/>
      </w:r>
      <w:r>
        <w:rPr>
          <w:color w:val="000000"/>
          <w:sz w:val="20"/>
          <w:szCs w:val="20"/>
        </w:rPr>
        <w:t xml:space="preserve"> Direct instructions: teaching through lectures/seminars/exercises and teacher-led demonstrations in the classroom; Presentations; Classroom discussion; E-Learning (Omega, etc.); Fieldwork; Other (specify)</w:t>
      </w:r>
    </w:p>
  </w:footnote>
  <w:footnote w:id="6">
    <w:p w:rsidR="00796725" w:rsidRDefault="00796725" w:rsidP="00796725">
      <w:pPr>
        <w:spacing w:after="0" w:line="240" w:lineRule="auto"/>
        <w:jc w:val="both"/>
      </w:pPr>
      <w:r>
        <w:rPr>
          <w:vertAlign w:val="superscript"/>
        </w:rPr>
        <w:footnoteRef/>
      </w:r>
      <w:r>
        <w:rPr>
          <w:color w:val="000000"/>
          <w:sz w:val="20"/>
          <w:szCs w:val="20"/>
        </w:rPr>
        <w:t xml:space="preserve"> According to CEFR (e.g. English B2, German C1…)</w:t>
      </w:r>
    </w:p>
  </w:footnote>
  <w:footnote w:id="7">
    <w:p w:rsidR="00796725" w:rsidRDefault="00796725" w:rsidP="00796725">
      <w:pPr>
        <w:spacing w:after="0" w:line="240" w:lineRule="auto"/>
        <w:jc w:val="both"/>
        <w:rPr>
          <w:color w:val="000000"/>
          <w:sz w:val="20"/>
          <w:szCs w:val="20"/>
        </w:rPr>
      </w:pPr>
      <w:r>
        <w:rPr>
          <w:vertAlign w:val="superscript"/>
        </w:rPr>
        <w:footnoteRef/>
      </w:r>
      <w:r>
        <w:rPr>
          <w:b/>
          <w:bCs/>
          <w:color w:val="000000"/>
          <w:sz w:val="20"/>
          <w:szCs w:val="20"/>
        </w:rPr>
        <w:t>Language options for guest (exchange) students):</w:t>
      </w:r>
    </w:p>
    <w:p w:rsidR="00796725" w:rsidRDefault="00796725" w:rsidP="00796725">
      <w:pPr>
        <w:spacing w:after="0" w:line="240" w:lineRule="auto"/>
        <w:jc w:val="both"/>
        <w:rPr>
          <w:color w:val="000000"/>
          <w:sz w:val="20"/>
          <w:szCs w:val="20"/>
        </w:rPr>
      </w:pPr>
      <w:r>
        <w:rPr>
          <w:color w:val="000000"/>
          <w:sz w:val="20"/>
          <w:szCs w:val="20"/>
        </w:rP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796725" w:rsidRDefault="00796725" w:rsidP="00796725">
      <w:pPr>
        <w:spacing w:after="0" w:line="240" w:lineRule="auto"/>
        <w:jc w:val="both"/>
      </w:pPr>
      <w:r>
        <w:rPr>
          <w:color w:val="000000"/>
          <w:sz w:val="20"/>
          <w:szCs w:val="20"/>
        </w:rPr>
        <w:t>L2 - All teaching activities will be held in regular teaching language only.</w:t>
      </w:r>
    </w:p>
  </w:footnote>
  <w:footnote w:id="8">
    <w:p w:rsidR="00796725" w:rsidRDefault="00796725" w:rsidP="00796725">
      <w:pPr>
        <w:spacing w:after="0" w:line="240" w:lineRule="auto"/>
        <w:jc w:val="both"/>
      </w:pPr>
      <w:r>
        <w:rPr>
          <w:vertAlign w:val="superscript"/>
        </w:rPr>
        <w:footnoteRef/>
      </w:r>
      <w:r>
        <w:rPr>
          <w:sz w:val="20"/>
          <w:szCs w:val="20"/>
        </w:rPr>
        <w:t xml:space="preserve"> Class attendance, Essay, Preliminary exam, Seminar paper, Practical work, Written exam, Oral Exam, Other (specify)</w:t>
      </w:r>
    </w:p>
  </w:footnote>
  <w:footnote w:id="9">
    <w:p w:rsidR="00796725" w:rsidRDefault="00796725" w:rsidP="00796725">
      <w:pPr>
        <w:spacing w:after="0" w:line="240" w:lineRule="auto"/>
        <w:jc w:val="both"/>
        <w:rPr>
          <w:sz w:val="20"/>
          <w:szCs w:val="20"/>
        </w:rPr>
      </w:pPr>
      <w:r>
        <w:rPr>
          <w:vertAlign w:val="superscript"/>
        </w:rPr>
        <w:footnoteRef/>
      </w:r>
      <w:r>
        <w:rPr>
          <w:sz w:val="20"/>
          <w:szCs w:val="20"/>
        </w:rPr>
        <w:t xml:space="preserve"> Standard - the institutional grading system (5 Excellent; 4 Very good; 3 Good; 2 Sufficient; 1 Fail)</w:t>
      </w:r>
    </w:p>
    <w:p w:rsidR="00796725" w:rsidRDefault="00796725" w:rsidP="00796725">
      <w:pPr>
        <w:spacing w:after="0" w:line="240" w:lineRule="auto"/>
        <w:jc w:val="both"/>
        <w:rPr>
          <w:sz w:val="20"/>
          <w:szCs w:val="20"/>
        </w:rPr>
      </w:pPr>
      <w:r>
        <w:rPr>
          <w:sz w:val="20"/>
          <w:szCs w:val="20"/>
        </w:rPr>
        <w:t xml:space="preserve">Additional: </w:t>
      </w:r>
    </w:p>
    <w:p w:rsidR="00796725" w:rsidRDefault="00796725" w:rsidP="00796725">
      <w:pPr>
        <w:spacing w:after="0" w:line="240" w:lineRule="auto"/>
        <w:jc w:val="both"/>
        <w:rPr>
          <w:sz w:val="20"/>
          <w:szCs w:val="20"/>
        </w:rPr>
      </w:pPr>
      <w:r>
        <w:rPr>
          <w:sz w:val="20"/>
          <w:szCs w:val="20"/>
        </w:rPr>
        <w:t>RA - Regular Attendance (No ECTS credits awarded for course attendance only)</w:t>
      </w:r>
    </w:p>
    <w:p w:rsidR="00796725" w:rsidRDefault="00796725" w:rsidP="00796725">
      <w:pPr>
        <w:spacing w:after="0" w:line="240" w:lineRule="auto"/>
        <w:jc w:val="both"/>
        <w:rPr>
          <w:sz w:val="20"/>
          <w:szCs w:val="20"/>
        </w:rPr>
      </w:pPr>
      <w:r>
        <w:rPr>
          <w:sz w:val="20"/>
          <w:szCs w:val="20"/>
        </w:rPr>
        <w:t>C - Completed (Student has completed proscribed obligations/no ECTS credits awarded)</w:t>
      </w:r>
    </w:p>
    <w:p w:rsidR="00796725" w:rsidRDefault="00796725" w:rsidP="00796725">
      <w:pPr>
        <w:spacing w:after="0" w:line="240" w:lineRule="auto"/>
        <w:jc w:val="both"/>
        <w:rPr>
          <w:sz w:val="20"/>
          <w:szCs w:val="20"/>
        </w:rPr>
      </w:pPr>
      <w:r>
        <w:rPr>
          <w:sz w:val="20"/>
          <w:szCs w:val="20"/>
        </w:rPr>
        <w:t>C+ – Completed + ECTS (Student has completed proscribed obligations + ECTS credits awarded)</w:t>
      </w:r>
    </w:p>
    <w:p w:rsidR="00796725" w:rsidRDefault="00796725" w:rsidP="00796725">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6725"/>
    <w:rsid w:val="0047521B"/>
    <w:rsid w:val="00796725"/>
    <w:rsid w:val="00D11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25"/>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967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Company>Hewlett-Packard Company</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2019-05-07T03:55:00Z</dcterms:created>
  <dcterms:modified xsi:type="dcterms:W3CDTF">2019-05-07T03:56:00Z</dcterms:modified>
</cp:coreProperties>
</file>