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3078"/>
        <w:gridCol w:w="3082"/>
      </w:tblGrid>
      <w:tr w:rsidR="00043F8B" w:rsidRPr="001674B6" w:rsidTr="002E33D5">
        <w:tc>
          <w:tcPr>
            <w:tcW w:w="9396" w:type="dxa"/>
            <w:gridSpan w:val="3"/>
            <w:shd w:val="clear" w:color="auto" w:fill="auto"/>
          </w:tcPr>
          <w:p w:rsidR="00043F8B" w:rsidRDefault="00043F8B" w:rsidP="002E33D5">
            <w:pPr>
              <w:spacing w:after="0" w:line="240" w:lineRule="auto"/>
              <w:rPr>
                <w:rFonts w:cs="Calibri"/>
              </w:rPr>
            </w:pPr>
            <w:r w:rsidRPr="001674B6">
              <w:rPr>
                <w:rFonts w:cs="Calibri"/>
              </w:rPr>
              <w:t xml:space="preserve">STUDY PROGRAMME: </w:t>
            </w:r>
          </w:p>
          <w:p w:rsidR="00043F8B" w:rsidRPr="001674B6" w:rsidRDefault="00043F8B" w:rsidP="002E33D5">
            <w:pPr>
              <w:spacing w:after="0" w:line="240" w:lineRule="auto"/>
              <w:rPr>
                <w:rFonts w:cs="Calibri"/>
              </w:rPr>
            </w:pPr>
            <w:r w:rsidRPr="0022553F">
              <w:rPr>
                <w:rFonts w:cs="Calibri"/>
                <w:b/>
              </w:rPr>
              <w:t>South Slavic languages and literatures</w:t>
            </w:r>
          </w:p>
          <w:p w:rsidR="00043F8B" w:rsidRPr="001674B6" w:rsidRDefault="00043F8B" w:rsidP="002E33D5">
            <w:pPr>
              <w:spacing w:after="0" w:line="240" w:lineRule="auto"/>
              <w:rPr>
                <w:rFonts w:cs="Calibri"/>
              </w:rPr>
            </w:pPr>
          </w:p>
        </w:tc>
      </w:tr>
      <w:tr w:rsidR="00043F8B" w:rsidRPr="001674B6" w:rsidTr="002E33D5">
        <w:tc>
          <w:tcPr>
            <w:tcW w:w="9396" w:type="dxa"/>
            <w:gridSpan w:val="3"/>
            <w:shd w:val="clear" w:color="auto" w:fill="auto"/>
          </w:tcPr>
          <w:p w:rsidR="00043F8B" w:rsidRPr="001674B6" w:rsidRDefault="00043F8B" w:rsidP="002E33D5">
            <w:pPr>
              <w:spacing w:after="0" w:line="240" w:lineRule="auto"/>
              <w:rPr>
                <w:rFonts w:cs="Calibri"/>
                <w:color w:val="FF0000"/>
              </w:rPr>
            </w:pPr>
            <w:r w:rsidRPr="001674B6">
              <w:rPr>
                <w:rFonts w:cs="Calibri"/>
              </w:rPr>
              <w:t>Level and Year</w:t>
            </w:r>
            <w:r w:rsidRPr="001674B6">
              <w:rPr>
                <w:rStyle w:val="FootnoteReference"/>
                <w:rFonts w:cs="Calibri"/>
              </w:rPr>
              <w:footnoteReference w:id="2"/>
            </w:r>
            <w:r w:rsidRPr="001674B6">
              <w:rPr>
                <w:rFonts w:cs="Calibri"/>
              </w:rPr>
              <w:t xml:space="preserve">: </w:t>
            </w:r>
            <w:r w:rsidRPr="001674B6">
              <w:rPr>
                <w:rFonts w:cs="Calibri"/>
                <w:color w:val="FF0000"/>
              </w:rPr>
              <w:t xml:space="preserve"> </w:t>
            </w:r>
            <w:r>
              <w:rPr>
                <w:rFonts w:cs="Calibri"/>
                <w:color w:val="FF0000"/>
              </w:rPr>
              <w:t xml:space="preserve"> BA 2</w:t>
            </w:r>
            <w:r>
              <w:rPr>
                <w:rFonts w:cs="Calibri"/>
                <w:color w:val="FF0000"/>
                <w:vertAlign w:val="superscript"/>
              </w:rPr>
              <w:t xml:space="preserve">nd </w:t>
            </w:r>
            <w:r>
              <w:rPr>
                <w:rFonts w:cs="Calibri"/>
                <w:color w:val="FF0000"/>
              </w:rPr>
              <w:t>and 3</w:t>
            </w:r>
            <w:r>
              <w:rPr>
                <w:rFonts w:cs="Calibri"/>
                <w:color w:val="FF0000"/>
                <w:vertAlign w:val="superscript"/>
              </w:rPr>
              <w:t xml:space="preserve">rd </w:t>
            </w:r>
            <w:r>
              <w:rPr>
                <w:rFonts w:cs="Calibri"/>
                <w:color w:val="FF0000"/>
              </w:rPr>
              <w:t>year</w:t>
            </w:r>
          </w:p>
        </w:tc>
      </w:tr>
      <w:tr w:rsidR="00043F8B" w:rsidRPr="001674B6" w:rsidTr="002E33D5">
        <w:tc>
          <w:tcPr>
            <w:tcW w:w="9396" w:type="dxa"/>
            <w:gridSpan w:val="3"/>
            <w:shd w:val="clear" w:color="auto" w:fill="auto"/>
          </w:tcPr>
          <w:p w:rsidR="00043F8B" w:rsidRPr="001674B6" w:rsidRDefault="00043F8B" w:rsidP="002E33D5">
            <w:pPr>
              <w:spacing w:after="0" w:line="240" w:lineRule="auto"/>
              <w:rPr>
                <w:rFonts w:cs="Calibri"/>
              </w:rPr>
            </w:pPr>
            <w:r>
              <w:rPr>
                <w:rFonts w:cs="Calibri"/>
              </w:rPr>
              <w:t xml:space="preserve">Course Title: </w:t>
            </w:r>
            <w:r w:rsidRPr="00FA32D3">
              <w:rPr>
                <w:rFonts w:cs="Calibri"/>
                <w:b/>
                <w:i/>
              </w:rPr>
              <w:t>Contemporary Slovenian Literature</w:t>
            </w:r>
          </w:p>
        </w:tc>
      </w:tr>
      <w:tr w:rsidR="00043F8B" w:rsidRPr="001674B6" w:rsidTr="002E33D5">
        <w:tc>
          <w:tcPr>
            <w:tcW w:w="9396" w:type="dxa"/>
            <w:gridSpan w:val="3"/>
            <w:shd w:val="clear" w:color="auto" w:fill="auto"/>
          </w:tcPr>
          <w:p w:rsidR="00043F8B" w:rsidRPr="00965252" w:rsidRDefault="00043F8B" w:rsidP="002E33D5">
            <w:pPr>
              <w:spacing w:after="160" w:line="259" w:lineRule="auto"/>
              <w:rPr>
                <w:shd w:val="clear" w:color="auto" w:fill="FFFFFF"/>
              </w:rPr>
            </w:pPr>
            <w:r w:rsidRPr="001674B6">
              <w:rPr>
                <w:rFonts w:cs="Calibri"/>
              </w:rPr>
              <w:t>Course Description:</w:t>
            </w:r>
            <w:r>
              <w:rPr>
                <w:rFonts w:cs="Calibri"/>
              </w:rPr>
              <w:t xml:space="preserve"> </w:t>
            </w:r>
            <w:r w:rsidRPr="0050342E">
              <w:rPr>
                <w:rFonts w:cs="Calibri"/>
              </w:rPr>
              <w:t xml:space="preserve"> </w:t>
            </w:r>
            <w:r w:rsidRPr="00965252">
              <w:rPr>
                <w:rFonts w:cs="Calibri"/>
              </w:rPr>
              <w:t xml:space="preserve">The course gives an overview of </w:t>
            </w:r>
            <w:r w:rsidRPr="00965252">
              <w:rPr>
                <w:rStyle w:val="Emphasis"/>
                <w:rFonts w:cs="Arial"/>
                <w:bCs/>
                <w:i w:val="0"/>
                <w:iCs w:val="0"/>
                <w:shd w:val="clear" w:color="auto" w:fill="FFFFFF"/>
              </w:rPr>
              <w:t xml:space="preserve">the main </w:t>
            </w:r>
            <w:r w:rsidRPr="00965252">
              <w:rPr>
                <w:rFonts w:cs="Arial"/>
                <w:shd w:val="clear" w:color="auto" w:fill="FFFFFF"/>
              </w:rPr>
              <w:t>characteristics of the development of </w:t>
            </w:r>
            <w:r w:rsidRPr="00965252">
              <w:rPr>
                <w:rFonts w:cs="Calibri"/>
              </w:rPr>
              <w:t>Slovenian</w:t>
            </w:r>
            <w:r w:rsidRPr="00965252">
              <w:rPr>
                <w:rFonts w:cs="Calibri"/>
                <w:i/>
              </w:rPr>
              <w:t xml:space="preserve"> </w:t>
            </w:r>
            <w:r w:rsidRPr="00965252">
              <w:rPr>
                <w:rStyle w:val="Emphasis"/>
                <w:rFonts w:cs="Arial"/>
                <w:bCs/>
                <w:i w:val="0"/>
                <w:iCs w:val="0"/>
                <w:shd w:val="clear" w:color="auto" w:fill="FFFFFF"/>
              </w:rPr>
              <w:t>literature</w:t>
            </w:r>
            <w:r w:rsidRPr="00965252">
              <w:rPr>
                <w:rFonts w:cs="Calibri"/>
              </w:rPr>
              <w:t xml:space="preserve"> </w:t>
            </w:r>
            <w:r w:rsidRPr="00965252">
              <w:rPr>
                <w:shd w:val="clear" w:color="auto" w:fill="FFFFFF"/>
              </w:rPr>
              <w:t>after World War II (prose, p</w:t>
            </w:r>
            <w:r>
              <w:rPr>
                <w:shd w:val="clear" w:color="auto" w:fill="FFFFFF"/>
              </w:rPr>
              <w:t>o</w:t>
            </w:r>
            <w:r w:rsidRPr="00965252">
              <w:rPr>
                <w:shd w:val="clear" w:color="auto" w:fill="FFFFFF"/>
              </w:rPr>
              <w:t xml:space="preserve">etry and drama texts). The students will be offered an insight into </w:t>
            </w:r>
            <w:r w:rsidRPr="00965252">
              <w:rPr>
                <w:rFonts w:cs="Arial"/>
                <w:shd w:val="clear" w:color="auto" w:fill="FFFFFF"/>
              </w:rPr>
              <w:t xml:space="preserve">contemporary literary </w:t>
            </w:r>
            <w:r w:rsidRPr="00965252">
              <w:rPr>
                <w:shd w:val="clear" w:color="auto" w:fill="FFFFFF"/>
              </w:rPr>
              <w:t>tendencies, which will be followed by their active participation in the reading and analysis of chosen literary works.</w:t>
            </w:r>
            <w:r w:rsidRPr="00965252">
              <w:rPr>
                <w:rStyle w:val="Emphasis"/>
                <w:rFonts w:cs="Arial"/>
                <w:bCs/>
                <w:i w:val="0"/>
                <w:iCs w:val="0"/>
                <w:shd w:val="clear" w:color="auto" w:fill="FFFFFF"/>
              </w:rPr>
              <w:t xml:space="preserve"> </w:t>
            </w:r>
          </w:p>
        </w:tc>
      </w:tr>
      <w:tr w:rsidR="00043F8B" w:rsidRPr="001674B6" w:rsidTr="002E33D5">
        <w:tc>
          <w:tcPr>
            <w:tcW w:w="9396" w:type="dxa"/>
            <w:gridSpan w:val="3"/>
            <w:shd w:val="clear" w:color="auto" w:fill="auto"/>
          </w:tcPr>
          <w:p w:rsidR="00043F8B" w:rsidRPr="001674B6" w:rsidRDefault="00043F8B" w:rsidP="002E33D5">
            <w:pPr>
              <w:spacing w:after="0" w:line="240" w:lineRule="auto"/>
              <w:rPr>
                <w:rFonts w:cs="Calibri"/>
                <w:color w:val="FF0000"/>
              </w:rPr>
            </w:pPr>
            <w:r w:rsidRPr="001674B6">
              <w:rPr>
                <w:rFonts w:cs="Calibri"/>
              </w:rPr>
              <w:t>Semester</w:t>
            </w:r>
            <w:r w:rsidRPr="001674B6">
              <w:rPr>
                <w:rStyle w:val="FootnoteReference"/>
                <w:rFonts w:cs="Calibri"/>
              </w:rPr>
              <w:footnoteReference w:id="3"/>
            </w:r>
            <w:r w:rsidRPr="001674B6">
              <w:rPr>
                <w:rFonts w:cs="Calibri"/>
              </w:rPr>
              <w:t>:</w:t>
            </w:r>
            <w:r w:rsidRPr="001674B6">
              <w:rPr>
                <w:rFonts w:cs="Calibri"/>
                <w:color w:val="FF0000"/>
              </w:rPr>
              <w:t xml:space="preserve"> </w:t>
            </w:r>
            <w:r>
              <w:rPr>
                <w:rFonts w:cs="Calibri"/>
                <w:color w:val="FF0000"/>
              </w:rPr>
              <w:t xml:space="preserve"> Winter</w:t>
            </w:r>
          </w:p>
        </w:tc>
      </w:tr>
      <w:tr w:rsidR="00043F8B" w:rsidRPr="001674B6" w:rsidTr="002E33D5">
        <w:tc>
          <w:tcPr>
            <w:tcW w:w="9396" w:type="dxa"/>
            <w:gridSpan w:val="3"/>
            <w:shd w:val="clear" w:color="auto" w:fill="auto"/>
          </w:tcPr>
          <w:p w:rsidR="00043F8B" w:rsidRPr="001674B6" w:rsidRDefault="00043F8B" w:rsidP="002E33D5">
            <w:pPr>
              <w:spacing w:after="0" w:line="240" w:lineRule="auto"/>
              <w:rPr>
                <w:rFonts w:cs="Calibri"/>
              </w:rPr>
            </w:pPr>
            <w:r w:rsidRPr="001674B6">
              <w:rPr>
                <w:rFonts w:cs="Calibri"/>
              </w:rPr>
              <w:t>Lecturer(s)/Teacher(s):</w:t>
            </w:r>
            <w:r>
              <w:rPr>
                <w:rFonts w:cs="Calibri"/>
              </w:rPr>
              <w:t xml:space="preserve"> Ivana Latković</w:t>
            </w:r>
          </w:p>
          <w:p w:rsidR="00043F8B" w:rsidRPr="001674B6" w:rsidRDefault="00043F8B" w:rsidP="002E33D5">
            <w:pPr>
              <w:spacing w:after="0" w:line="240" w:lineRule="auto"/>
              <w:rPr>
                <w:rFonts w:cs="Calibri"/>
              </w:rPr>
            </w:pPr>
          </w:p>
        </w:tc>
      </w:tr>
      <w:tr w:rsidR="00043F8B" w:rsidRPr="001674B6" w:rsidTr="002E33D5">
        <w:tc>
          <w:tcPr>
            <w:tcW w:w="9396" w:type="dxa"/>
            <w:gridSpan w:val="3"/>
            <w:shd w:val="clear" w:color="auto" w:fill="auto"/>
          </w:tcPr>
          <w:p w:rsidR="00043F8B" w:rsidRPr="001674B6" w:rsidRDefault="00043F8B" w:rsidP="002E33D5">
            <w:pPr>
              <w:spacing w:after="0" w:line="240" w:lineRule="auto"/>
              <w:rPr>
                <w:rFonts w:cs="Calibri"/>
              </w:rPr>
            </w:pPr>
            <w:r w:rsidRPr="001674B6">
              <w:rPr>
                <w:rFonts w:cs="Calibri"/>
              </w:rPr>
              <w:t>Teaching Language (regular)</w:t>
            </w:r>
            <w:r w:rsidRPr="001674B6">
              <w:rPr>
                <w:rStyle w:val="FootnoteReference"/>
                <w:rFonts w:cs="Calibri"/>
              </w:rPr>
              <w:footnoteReference w:id="4"/>
            </w:r>
            <w:r w:rsidRPr="001674B6">
              <w:rPr>
                <w:rFonts w:cs="Calibri"/>
              </w:rPr>
              <w:t>:</w:t>
            </w:r>
            <w:r>
              <w:rPr>
                <w:rFonts w:cs="Calibri"/>
              </w:rPr>
              <w:t xml:space="preserve"> </w:t>
            </w:r>
            <w:r w:rsidRPr="00747740">
              <w:rPr>
                <w:rFonts w:cs="Calibri"/>
              </w:rPr>
              <w:t xml:space="preserve"> </w:t>
            </w:r>
            <w:r>
              <w:rPr>
                <w:rFonts w:cs="Calibri"/>
              </w:rPr>
              <w:t>Croatian and</w:t>
            </w:r>
            <w:r w:rsidRPr="00747740">
              <w:rPr>
                <w:rFonts w:cs="Calibri"/>
              </w:rPr>
              <w:t xml:space="preserve"> </w:t>
            </w:r>
            <w:r w:rsidRPr="00747740">
              <w:rPr>
                <w:rFonts w:cs="Calibri"/>
                <w:i/>
              </w:rPr>
              <w:t xml:space="preserve"> </w:t>
            </w:r>
            <w:r w:rsidRPr="00747740">
              <w:rPr>
                <w:rFonts w:cs="Calibri"/>
              </w:rPr>
              <w:t>Slovenian</w:t>
            </w:r>
          </w:p>
        </w:tc>
      </w:tr>
      <w:tr w:rsidR="00043F8B" w:rsidRPr="001674B6" w:rsidTr="002E33D5">
        <w:tc>
          <w:tcPr>
            <w:tcW w:w="9396" w:type="dxa"/>
            <w:gridSpan w:val="3"/>
            <w:shd w:val="clear" w:color="auto" w:fill="auto"/>
          </w:tcPr>
          <w:p w:rsidR="00043F8B" w:rsidRPr="001674B6" w:rsidRDefault="00043F8B" w:rsidP="002E33D5">
            <w:pPr>
              <w:spacing w:after="0" w:line="240" w:lineRule="auto"/>
              <w:rPr>
                <w:rFonts w:cs="Calibri"/>
              </w:rPr>
            </w:pPr>
            <w:r w:rsidRPr="001674B6">
              <w:rPr>
                <w:rFonts w:cs="Calibri"/>
              </w:rPr>
              <w:t>Teaching Methods (regular):</w:t>
            </w:r>
            <w:r w:rsidRPr="001674B6">
              <w:rPr>
                <w:rStyle w:val="FootnoteReference"/>
                <w:rFonts w:cs="Calibri"/>
              </w:rPr>
              <w:footnoteReference w:id="5"/>
            </w:r>
            <w:r>
              <w:rPr>
                <w:rFonts w:cs="Calibri"/>
              </w:rPr>
              <w:t xml:space="preserve"> </w:t>
            </w:r>
            <w:r w:rsidRPr="00D12733">
              <w:t xml:space="preserve"> lectures/seminars</w:t>
            </w:r>
            <w:r>
              <w:t xml:space="preserve"> </w:t>
            </w:r>
            <w:r w:rsidRPr="00D12733">
              <w:t xml:space="preserve"> and teacher-led demonstrations in the classroom; Presentations; Classroom dis</w:t>
            </w:r>
            <w:r>
              <w:t>cussion; E-Learning (Omega)</w:t>
            </w:r>
          </w:p>
          <w:p w:rsidR="00043F8B" w:rsidRPr="001674B6" w:rsidRDefault="00043F8B" w:rsidP="002E33D5">
            <w:pPr>
              <w:spacing w:after="0" w:line="240" w:lineRule="auto"/>
              <w:rPr>
                <w:rFonts w:cs="Calibri"/>
              </w:rPr>
            </w:pPr>
          </w:p>
        </w:tc>
      </w:tr>
      <w:tr w:rsidR="00043F8B" w:rsidRPr="001674B6" w:rsidTr="002E33D5">
        <w:tc>
          <w:tcPr>
            <w:tcW w:w="3132" w:type="dxa"/>
            <w:shd w:val="clear" w:color="auto" w:fill="auto"/>
          </w:tcPr>
          <w:p w:rsidR="00043F8B" w:rsidRPr="001674B6" w:rsidRDefault="00043F8B" w:rsidP="002E33D5">
            <w:pPr>
              <w:spacing w:after="0" w:line="240" w:lineRule="auto"/>
              <w:rPr>
                <w:rFonts w:cs="Calibri"/>
              </w:rPr>
            </w:pPr>
            <w:r w:rsidRPr="001674B6">
              <w:rPr>
                <w:rFonts w:cs="Calibri"/>
              </w:rPr>
              <w:t>Teaching:</w:t>
            </w:r>
          </w:p>
        </w:tc>
        <w:tc>
          <w:tcPr>
            <w:tcW w:w="3132" w:type="dxa"/>
            <w:shd w:val="clear" w:color="auto" w:fill="auto"/>
          </w:tcPr>
          <w:p w:rsidR="00043F8B" w:rsidRPr="001674B6" w:rsidRDefault="00043F8B" w:rsidP="002E33D5">
            <w:pPr>
              <w:spacing w:after="0" w:line="240" w:lineRule="auto"/>
              <w:rPr>
                <w:rFonts w:cs="Calibri"/>
              </w:rPr>
            </w:pPr>
            <w:r w:rsidRPr="001674B6">
              <w:rPr>
                <w:rFonts w:cs="Calibri"/>
              </w:rPr>
              <w:t>Weekly (hours)</w:t>
            </w:r>
          </w:p>
        </w:tc>
        <w:tc>
          <w:tcPr>
            <w:tcW w:w="3132" w:type="dxa"/>
            <w:shd w:val="clear" w:color="auto" w:fill="auto"/>
          </w:tcPr>
          <w:p w:rsidR="00043F8B" w:rsidRPr="001674B6" w:rsidRDefault="00043F8B" w:rsidP="002E33D5">
            <w:pPr>
              <w:spacing w:after="0" w:line="240" w:lineRule="auto"/>
              <w:rPr>
                <w:rFonts w:cs="Calibri"/>
              </w:rPr>
            </w:pPr>
            <w:r w:rsidRPr="001674B6">
              <w:rPr>
                <w:rFonts w:cs="Calibri"/>
              </w:rPr>
              <w:t>Semester (hours)</w:t>
            </w:r>
          </w:p>
          <w:p w:rsidR="00043F8B" w:rsidRPr="001674B6" w:rsidRDefault="00043F8B" w:rsidP="002E33D5">
            <w:pPr>
              <w:spacing w:after="0" w:line="240" w:lineRule="auto"/>
              <w:rPr>
                <w:rFonts w:cs="Calibri"/>
              </w:rPr>
            </w:pPr>
          </w:p>
        </w:tc>
      </w:tr>
      <w:tr w:rsidR="00043F8B" w:rsidRPr="001674B6" w:rsidTr="002E33D5">
        <w:tc>
          <w:tcPr>
            <w:tcW w:w="3132" w:type="dxa"/>
            <w:shd w:val="clear" w:color="auto" w:fill="auto"/>
          </w:tcPr>
          <w:p w:rsidR="00043F8B" w:rsidRPr="001674B6" w:rsidRDefault="00043F8B" w:rsidP="002E33D5">
            <w:pPr>
              <w:spacing w:after="0" w:line="240" w:lineRule="auto"/>
              <w:rPr>
                <w:rFonts w:cs="Calibri"/>
              </w:rPr>
            </w:pPr>
            <w:r w:rsidRPr="001674B6">
              <w:rPr>
                <w:rFonts w:cs="Calibri"/>
              </w:rPr>
              <w:t>Lectures:</w:t>
            </w:r>
          </w:p>
        </w:tc>
        <w:tc>
          <w:tcPr>
            <w:tcW w:w="3132" w:type="dxa"/>
            <w:shd w:val="clear" w:color="auto" w:fill="auto"/>
          </w:tcPr>
          <w:p w:rsidR="00043F8B" w:rsidRPr="001674B6" w:rsidRDefault="00043F8B" w:rsidP="002E33D5">
            <w:pPr>
              <w:spacing w:after="0" w:line="240" w:lineRule="auto"/>
              <w:rPr>
                <w:rFonts w:cs="Calibri"/>
              </w:rPr>
            </w:pPr>
            <w:r>
              <w:rPr>
                <w:rFonts w:cs="Calibri"/>
              </w:rPr>
              <w:t>1</w:t>
            </w:r>
          </w:p>
        </w:tc>
        <w:tc>
          <w:tcPr>
            <w:tcW w:w="3132" w:type="dxa"/>
            <w:shd w:val="clear" w:color="auto" w:fill="auto"/>
          </w:tcPr>
          <w:p w:rsidR="00043F8B" w:rsidRPr="001674B6" w:rsidRDefault="00043F8B" w:rsidP="002E33D5">
            <w:pPr>
              <w:spacing w:after="0" w:line="240" w:lineRule="auto"/>
              <w:rPr>
                <w:rFonts w:cs="Calibri"/>
              </w:rPr>
            </w:pPr>
            <w:r>
              <w:rPr>
                <w:rFonts w:cs="Calibri"/>
              </w:rPr>
              <w:t>15</w:t>
            </w:r>
          </w:p>
        </w:tc>
      </w:tr>
      <w:tr w:rsidR="00043F8B" w:rsidRPr="001674B6" w:rsidTr="002E33D5">
        <w:tc>
          <w:tcPr>
            <w:tcW w:w="3132" w:type="dxa"/>
            <w:shd w:val="clear" w:color="auto" w:fill="auto"/>
          </w:tcPr>
          <w:p w:rsidR="00043F8B" w:rsidRPr="001674B6" w:rsidRDefault="00043F8B" w:rsidP="002E33D5">
            <w:pPr>
              <w:spacing w:after="0" w:line="240" w:lineRule="auto"/>
              <w:rPr>
                <w:rFonts w:cs="Calibri"/>
              </w:rPr>
            </w:pPr>
            <w:r w:rsidRPr="001674B6">
              <w:rPr>
                <w:rFonts w:cs="Calibri"/>
              </w:rPr>
              <w:t>Exercises:</w:t>
            </w:r>
          </w:p>
        </w:tc>
        <w:tc>
          <w:tcPr>
            <w:tcW w:w="3132" w:type="dxa"/>
            <w:shd w:val="clear" w:color="auto" w:fill="auto"/>
          </w:tcPr>
          <w:p w:rsidR="00043F8B" w:rsidRPr="001674B6" w:rsidRDefault="00043F8B" w:rsidP="002E33D5">
            <w:pPr>
              <w:spacing w:after="0" w:line="240" w:lineRule="auto"/>
              <w:rPr>
                <w:rFonts w:cs="Calibri"/>
              </w:rPr>
            </w:pPr>
          </w:p>
        </w:tc>
        <w:tc>
          <w:tcPr>
            <w:tcW w:w="3132" w:type="dxa"/>
            <w:shd w:val="clear" w:color="auto" w:fill="auto"/>
          </w:tcPr>
          <w:p w:rsidR="00043F8B" w:rsidRPr="001674B6" w:rsidRDefault="00043F8B" w:rsidP="002E33D5">
            <w:pPr>
              <w:spacing w:after="0" w:line="240" w:lineRule="auto"/>
              <w:rPr>
                <w:rFonts w:cs="Calibri"/>
              </w:rPr>
            </w:pPr>
          </w:p>
        </w:tc>
      </w:tr>
      <w:tr w:rsidR="00043F8B" w:rsidRPr="001674B6" w:rsidTr="002E33D5">
        <w:tc>
          <w:tcPr>
            <w:tcW w:w="3132" w:type="dxa"/>
            <w:shd w:val="clear" w:color="auto" w:fill="auto"/>
          </w:tcPr>
          <w:p w:rsidR="00043F8B" w:rsidRPr="001674B6" w:rsidRDefault="00043F8B" w:rsidP="002E33D5">
            <w:pPr>
              <w:spacing w:after="0" w:line="240" w:lineRule="auto"/>
              <w:rPr>
                <w:rFonts w:cs="Calibri"/>
              </w:rPr>
            </w:pPr>
            <w:r w:rsidRPr="001674B6">
              <w:rPr>
                <w:rFonts w:cs="Calibri"/>
              </w:rPr>
              <w:t>Seminars:</w:t>
            </w:r>
          </w:p>
        </w:tc>
        <w:tc>
          <w:tcPr>
            <w:tcW w:w="3132" w:type="dxa"/>
            <w:shd w:val="clear" w:color="auto" w:fill="auto"/>
          </w:tcPr>
          <w:p w:rsidR="00043F8B" w:rsidRPr="001674B6" w:rsidRDefault="00043F8B" w:rsidP="002E33D5">
            <w:pPr>
              <w:spacing w:after="0" w:line="240" w:lineRule="auto"/>
              <w:rPr>
                <w:rFonts w:cs="Calibri"/>
              </w:rPr>
            </w:pPr>
            <w:r>
              <w:rPr>
                <w:rFonts w:cs="Calibri"/>
              </w:rPr>
              <w:t>1</w:t>
            </w:r>
          </w:p>
        </w:tc>
        <w:tc>
          <w:tcPr>
            <w:tcW w:w="3132" w:type="dxa"/>
            <w:shd w:val="clear" w:color="auto" w:fill="auto"/>
          </w:tcPr>
          <w:p w:rsidR="00043F8B" w:rsidRPr="001674B6" w:rsidRDefault="00043F8B" w:rsidP="002E33D5">
            <w:pPr>
              <w:spacing w:after="0" w:line="240" w:lineRule="auto"/>
              <w:rPr>
                <w:rFonts w:cs="Calibri"/>
              </w:rPr>
            </w:pPr>
            <w:r>
              <w:rPr>
                <w:rFonts w:cs="Calibri"/>
              </w:rPr>
              <w:t>15</w:t>
            </w:r>
          </w:p>
        </w:tc>
      </w:tr>
      <w:tr w:rsidR="00043F8B" w:rsidRPr="001674B6" w:rsidTr="002E33D5">
        <w:tc>
          <w:tcPr>
            <w:tcW w:w="9396" w:type="dxa"/>
            <w:gridSpan w:val="3"/>
            <w:shd w:val="clear" w:color="auto" w:fill="auto"/>
          </w:tcPr>
          <w:p w:rsidR="00043F8B" w:rsidRPr="001674B6" w:rsidRDefault="00043F8B" w:rsidP="002E33D5">
            <w:pPr>
              <w:spacing w:after="0" w:line="240" w:lineRule="auto"/>
              <w:rPr>
                <w:rFonts w:cs="Calibri"/>
              </w:rPr>
            </w:pPr>
            <w:r w:rsidRPr="001674B6">
              <w:rPr>
                <w:rFonts w:cs="Calibri"/>
              </w:rPr>
              <w:t>ECTS:</w:t>
            </w:r>
          </w:p>
        </w:tc>
      </w:tr>
      <w:tr w:rsidR="00043F8B" w:rsidRPr="001674B6" w:rsidTr="002E33D5">
        <w:tc>
          <w:tcPr>
            <w:tcW w:w="9396" w:type="dxa"/>
            <w:gridSpan w:val="3"/>
            <w:shd w:val="clear" w:color="auto" w:fill="auto"/>
          </w:tcPr>
          <w:p w:rsidR="00043F8B" w:rsidRPr="001674B6" w:rsidRDefault="00043F8B" w:rsidP="002E33D5">
            <w:pPr>
              <w:spacing w:after="0" w:line="240" w:lineRule="auto"/>
              <w:rPr>
                <w:rFonts w:cs="Calibri"/>
              </w:rPr>
            </w:pPr>
            <w:r w:rsidRPr="001674B6">
              <w:rPr>
                <w:rFonts w:cs="Calibri"/>
              </w:rPr>
              <w:t>Teaching language and level</w:t>
            </w:r>
            <w:r w:rsidRPr="001674B6">
              <w:rPr>
                <w:rStyle w:val="FootnoteReference"/>
                <w:rFonts w:cs="Calibri"/>
              </w:rPr>
              <w:footnoteReference w:id="6"/>
            </w:r>
            <w:r w:rsidRPr="001674B6">
              <w:rPr>
                <w:rFonts w:cs="Calibri"/>
              </w:rPr>
              <w:t xml:space="preserve">  for guest (exchange) students:</w:t>
            </w:r>
            <w:r>
              <w:rPr>
                <w:rFonts w:cs="Calibri"/>
              </w:rPr>
              <w:t xml:space="preserve"> </w:t>
            </w:r>
            <w:r w:rsidRPr="0022553F">
              <w:rPr>
                <w:rFonts w:cs="Calibri"/>
                <w:b/>
              </w:rPr>
              <w:t xml:space="preserve"> </w:t>
            </w:r>
            <w:r>
              <w:rPr>
                <w:rFonts w:cs="Calibri"/>
              </w:rPr>
              <w:t xml:space="preserve">Croatian or </w:t>
            </w:r>
            <w:r w:rsidRPr="00747740">
              <w:rPr>
                <w:rFonts w:cs="Calibri"/>
              </w:rPr>
              <w:t>Slovenian</w:t>
            </w:r>
            <w:r w:rsidRPr="00747740">
              <w:rPr>
                <w:rFonts w:cs="Calibri"/>
                <w:i/>
              </w:rPr>
              <w:t xml:space="preserve"> </w:t>
            </w:r>
            <w:r w:rsidRPr="00747740">
              <w:rPr>
                <w:rFonts w:cs="Calibri"/>
              </w:rPr>
              <w:t>B2</w:t>
            </w:r>
          </w:p>
          <w:p w:rsidR="00043F8B" w:rsidRPr="001674B6" w:rsidRDefault="00043F8B" w:rsidP="002E33D5">
            <w:pPr>
              <w:spacing w:after="0" w:line="240" w:lineRule="auto"/>
              <w:rPr>
                <w:rFonts w:cs="Calibri"/>
              </w:rPr>
            </w:pPr>
          </w:p>
        </w:tc>
      </w:tr>
      <w:tr w:rsidR="00043F8B" w:rsidRPr="001674B6" w:rsidTr="002E33D5">
        <w:tc>
          <w:tcPr>
            <w:tcW w:w="9396" w:type="dxa"/>
            <w:gridSpan w:val="3"/>
            <w:shd w:val="clear" w:color="auto" w:fill="auto"/>
          </w:tcPr>
          <w:p w:rsidR="00043F8B" w:rsidRPr="001674B6" w:rsidRDefault="00043F8B" w:rsidP="002E33D5">
            <w:pPr>
              <w:spacing w:after="0" w:line="240" w:lineRule="auto"/>
              <w:rPr>
                <w:rFonts w:cs="Calibri"/>
              </w:rPr>
            </w:pPr>
            <w:r w:rsidRPr="001674B6">
              <w:rPr>
                <w:rFonts w:cs="Calibri"/>
              </w:rPr>
              <w:t>Teaching Methods</w:t>
            </w:r>
            <w:r w:rsidRPr="001674B6">
              <w:rPr>
                <w:rStyle w:val="FootnoteReference"/>
                <w:rFonts w:cs="Calibri"/>
              </w:rPr>
              <w:footnoteReference w:id="7"/>
            </w:r>
            <w:r w:rsidRPr="001674B6">
              <w:rPr>
                <w:rFonts w:cs="Calibri"/>
              </w:rPr>
              <w:t xml:space="preserve"> for guest (exchange) students:</w:t>
            </w:r>
            <w:r>
              <w:rPr>
                <w:rFonts w:cs="Calibri"/>
              </w:rPr>
              <w:t xml:space="preserve"> L1</w:t>
            </w:r>
          </w:p>
          <w:p w:rsidR="00043F8B" w:rsidRPr="001674B6" w:rsidRDefault="00043F8B" w:rsidP="002E33D5">
            <w:pPr>
              <w:spacing w:after="0" w:line="240" w:lineRule="auto"/>
              <w:rPr>
                <w:rFonts w:cs="Calibri"/>
              </w:rPr>
            </w:pPr>
          </w:p>
        </w:tc>
      </w:tr>
      <w:tr w:rsidR="00043F8B" w:rsidRPr="001674B6" w:rsidTr="002E33D5">
        <w:tc>
          <w:tcPr>
            <w:tcW w:w="9396" w:type="dxa"/>
            <w:gridSpan w:val="3"/>
            <w:shd w:val="clear" w:color="auto" w:fill="auto"/>
          </w:tcPr>
          <w:p w:rsidR="00043F8B" w:rsidRPr="00C43A00" w:rsidRDefault="00043F8B" w:rsidP="002E33D5">
            <w:pPr>
              <w:spacing w:after="0" w:line="240" w:lineRule="auto"/>
              <w:rPr>
                <w:rFonts w:cs="Calibri"/>
              </w:rPr>
            </w:pPr>
            <w:r w:rsidRPr="001674B6">
              <w:rPr>
                <w:rFonts w:cs="Calibri"/>
              </w:rPr>
              <w:t>Evaluation Methods</w:t>
            </w:r>
            <w:r w:rsidRPr="001674B6">
              <w:rPr>
                <w:rStyle w:val="FootnoteReference"/>
                <w:rFonts w:cs="Calibri"/>
              </w:rPr>
              <w:footnoteReference w:id="8"/>
            </w:r>
            <w:r w:rsidRPr="001674B6">
              <w:rPr>
                <w:rFonts w:cs="Calibri"/>
              </w:rPr>
              <w:t xml:space="preserve"> and Grading</w:t>
            </w:r>
            <w:r w:rsidRPr="001674B6">
              <w:rPr>
                <w:rStyle w:val="FootnoteReference"/>
                <w:rFonts w:cs="Calibri"/>
              </w:rPr>
              <w:footnoteReference w:id="9"/>
            </w:r>
            <w:r w:rsidRPr="001674B6">
              <w:rPr>
                <w:rFonts w:cs="Calibri"/>
              </w:rPr>
              <w:t>:</w:t>
            </w:r>
            <w:r>
              <w:rPr>
                <w:rFonts w:cs="Calibri"/>
              </w:rPr>
              <w:t xml:space="preserve"> </w:t>
            </w:r>
            <w:r w:rsidRPr="00D12733">
              <w:rPr>
                <w:sz w:val="20"/>
                <w:szCs w:val="20"/>
              </w:rPr>
              <w:t xml:space="preserve"> </w:t>
            </w:r>
            <w:r w:rsidRPr="00C43A00">
              <w:t>Seminar paper or Oral Exam;  Standard</w:t>
            </w:r>
          </w:p>
          <w:p w:rsidR="00043F8B" w:rsidRPr="001674B6" w:rsidRDefault="00043F8B" w:rsidP="002E33D5">
            <w:pPr>
              <w:spacing w:after="0" w:line="240" w:lineRule="auto"/>
              <w:rPr>
                <w:rFonts w:cs="Calibri"/>
              </w:rPr>
            </w:pPr>
          </w:p>
        </w:tc>
      </w:tr>
      <w:tr w:rsidR="00043F8B" w:rsidRPr="001674B6" w:rsidTr="002E33D5">
        <w:tc>
          <w:tcPr>
            <w:tcW w:w="9396" w:type="dxa"/>
            <w:gridSpan w:val="3"/>
            <w:shd w:val="clear" w:color="auto" w:fill="auto"/>
          </w:tcPr>
          <w:p w:rsidR="00043F8B" w:rsidRDefault="00043F8B" w:rsidP="002E33D5">
            <w:pPr>
              <w:spacing w:after="0" w:line="240" w:lineRule="auto"/>
              <w:rPr>
                <w:rFonts w:cs="Calibri"/>
              </w:rPr>
            </w:pPr>
            <w:r w:rsidRPr="001674B6">
              <w:rPr>
                <w:rFonts w:cs="Calibri"/>
              </w:rPr>
              <w:t>Learning Outcomes:</w:t>
            </w:r>
          </w:p>
          <w:p w:rsidR="00043F8B" w:rsidRPr="00A5727D" w:rsidRDefault="00043F8B" w:rsidP="00043F8B">
            <w:pPr>
              <w:numPr>
                <w:ilvl w:val="0"/>
                <w:numId w:val="1"/>
              </w:numPr>
              <w:shd w:val="clear" w:color="auto" w:fill="FFFFFF"/>
              <w:spacing w:after="0" w:line="240" w:lineRule="auto"/>
              <w:rPr>
                <w:rFonts w:eastAsia="Times New Roman"/>
                <w:lang w:eastAsia="hr-HR"/>
              </w:rPr>
            </w:pPr>
            <w:r w:rsidRPr="00A5727D">
              <w:rPr>
                <w:rFonts w:eastAsia="Times New Roman"/>
                <w:lang w:eastAsia="hr-HR"/>
              </w:rPr>
              <w:t>understand texts in their cultural and historical contexts</w:t>
            </w:r>
          </w:p>
          <w:p w:rsidR="00043F8B" w:rsidRDefault="00043F8B" w:rsidP="00043F8B">
            <w:pPr>
              <w:numPr>
                <w:ilvl w:val="0"/>
                <w:numId w:val="1"/>
              </w:numPr>
              <w:spacing w:after="0" w:line="240" w:lineRule="auto"/>
              <w:rPr>
                <w:shd w:val="clear" w:color="auto" w:fill="FFFFFF"/>
              </w:rPr>
            </w:pPr>
            <w:r w:rsidRPr="00A5727D">
              <w:rPr>
                <w:shd w:val="clear" w:color="auto" w:fill="FFFFFF"/>
              </w:rPr>
              <w:lastRenderedPageBreak/>
              <w:t>analyze literature using appropriate terminology</w:t>
            </w:r>
          </w:p>
          <w:p w:rsidR="00043F8B" w:rsidRDefault="00043F8B" w:rsidP="002E33D5">
            <w:pPr>
              <w:spacing w:after="0" w:line="240" w:lineRule="auto"/>
              <w:rPr>
                <w:shd w:val="clear" w:color="auto" w:fill="FFFFFF"/>
              </w:rPr>
            </w:pPr>
          </w:p>
          <w:p w:rsidR="00043F8B" w:rsidRPr="00A5727D" w:rsidRDefault="00043F8B" w:rsidP="002E33D5">
            <w:pPr>
              <w:spacing w:after="0" w:line="240" w:lineRule="auto"/>
              <w:rPr>
                <w:shd w:val="clear" w:color="auto" w:fill="FFFFFF"/>
              </w:rPr>
            </w:pPr>
          </w:p>
          <w:p w:rsidR="00043F8B" w:rsidRPr="00A5727D" w:rsidRDefault="00043F8B" w:rsidP="00043F8B">
            <w:pPr>
              <w:numPr>
                <w:ilvl w:val="0"/>
                <w:numId w:val="1"/>
              </w:numPr>
              <w:spacing w:after="0" w:line="240" w:lineRule="auto"/>
              <w:rPr>
                <w:rFonts w:cs="Arial"/>
                <w:shd w:val="clear" w:color="auto" w:fill="FFFFFF"/>
              </w:rPr>
            </w:pPr>
            <w:r w:rsidRPr="00A5727D">
              <w:rPr>
                <w:rFonts w:cs="Arial"/>
                <w:shd w:val="clear" w:color="auto" w:fill="FFFFFF"/>
              </w:rPr>
              <w:t>develop critical thinking, reading and interpretative skills</w:t>
            </w:r>
          </w:p>
          <w:p w:rsidR="00043F8B" w:rsidRPr="001674B6" w:rsidRDefault="00043F8B" w:rsidP="002E33D5">
            <w:pPr>
              <w:spacing w:after="0" w:line="240" w:lineRule="auto"/>
              <w:rPr>
                <w:rFonts w:cs="Calibri"/>
              </w:rPr>
            </w:pPr>
          </w:p>
        </w:tc>
      </w:tr>
      <w:tr w:rsidR="00043F8B" w:rsidRPr="001674B6" w:rsidTr="002E33D5">
        <w:tc>
          <w:tcPr>
            <w:tcW w:w="9396" w:type="dxa"/>
            <w:gridSpan w:val="3"/>
            <w:shd w:val="clear" w:color="auto" w:fill="auto"/>
          </w:tcPr>
          <w:p w:rsidR="00043F8B" w:rsidRPr="0050342E" w:rsidRDefault="00043F8B" w:rsidP="002E33D5">
            <w:pPr>
              <w:spacing w:after="0" w:line="240" w:lineRule="auto"/>
              <w:rPr>
                <w:rFonts w:cs="Calibri"/>
              </w:rPr>
            </w:pPr>
            <w:r w:rsidRPr="0050342E">
              <w:rPr>
                <w:rFonts w:cs="Calibri"/>
              </w:rPr>
              <w:lastRenderedPageBreak/>
              <w:t>Literature:</w:t>
            </w:r>
          </w:p>
          <w:p w:rsidR="00043F8B" w:rsidRPr="0050342E" w:rsidRDefault="00043F8B" w:rsidP="002E33D5">
            <w:pPr>
              <w:spacing w:after="0" w:line="240" w:lineRule="auto"/>
              <w:ind w:right="567"/>
              <w:jc w:val="both"/>
            </w:pPr>
            <w:r w:rsidRPr="0050342E">
              <w:t xml:space="preserve">1. Silvija Borovnik, </w:t>
            </w:r>
            <w:r w:rsidRPr="0050342E">
              <w:rPr>
                <w:i/>
              </w:rPr>
              <w:t>Slovenska dramatika v drugi polovici 20. stoletja</w:t>
            </w:r>
            <w:r w:rsidRPr="0050342E">
              <w:t xml:space="preserve">, 2005. </w:t>
            </w:r>
          </w:p>
          <w:p w:rsidR="00043F8B" w:rsidRPr="0050342E" w:rsidRDefault="00043F8B" w:rsidP="002E33D5">
            <w:pPr>
              <w:spacing w:after="0" w:line="240" w:lineRule="auto"/>
              <w:ind w:right="567"/>
              <w:jc w:val="both"/>
            </w:pPr>
            <w:r w:rsidRPr="0050342E">
              <w:t xml:space="preserve">2. </w:t>
            </w:r>
            <w:r w:rsidRPr="0050342E">
              <w:rPr>
                <w:i/>
              </w:rPr>
              <w:t>Nova slovenska lirika</w:t>
            </w:r>
            <w:r w:rsidRPr="0050342E">
              <w:t xml:space="preserve"> (prir. R. Dabo/J. Kos) , Zagreb, 2002. </w:t>
            </w:r>
          </w:p>
          <w:p w:rsidR="00043F8B" w:rsidRPr="0050342E" w:rsidRDefault="00043F8B" w:rsidP="002E33D5">
            <w:pPr>
              <w:spacing w:after="0" w:line="240" w:lineRule="auto"/>
              <w:ind w:right="567"/>
              <w:jc w:val="both"/>
            </w:pPr>
            <w:r w:rsidRPr="0050342E">
              <w:t xml:space="preserve">3. Helga Glušič, </w:t>
            </w:r>
            <w:r w:rsidRPr="0050342E">
              <w:rPr>
                <w:i/>
              </w:rPr>
              <w:t>Slovenska pripovedna proza v drugi polovici 20. stoletja</w:t>
            </w:r>
            <w:r w:rsidRPr="0050342E">
              <w:t>, 2002.</w:t>
            </w:r>
          </w:p>
          <w:p w:rsidR="00043F8B" w:rsidRPr="0050342E" w:rsidRDefault="00043F8B" w:rsidP="002E33D5">
            <w:pPr>
              <w:spacing w:after="0" w:line="240" w:lineRule="auto"/>
              <w:ind w:right="567"/>
              <w:jc w:val="both"/>
            </w:pPr>
            <w:r w:rsidRPr="0050342E">
              <w:t xml:space="preserve">4. Janko Kos, </w:t>
            </w:r>
            <w:r w:rsidRPr="0050342E">
              <w:rPr>
                <w:i/>
              </w:rPr>
              <w:t>Pregled slovenskega slovstva</w:t>
            </w:r>
            <w:r w:rsidRPr="0050342E">
              <w:t>, DZS, 2002.</w:t>
            </w:r>
          </w:p>
          <w:p w:rsidR="00043F8B" w:rsidRPr="0050342E" w:rsidRDefault="00043F8B" w:rsidP="002E33D5">
            <w:pPr>
              <w:spacing w:after="0" w:line="240" w:lineRule="auto"/>
              <w:ind w:right="567"/>
              <w:jc w:val="both"/>
            </w:pPr>
            <w:r w:rsidRPr="0050342E">
              <w:t xml:space="preserve">5. </w:t>
            </w:r>
            <w:r w:rsidRPr="0050342E">
              <w:rPr>
                <w:i/>
              </w:rPr>
              <w:t>Izabrane slovenske drame</w:t>
            </w:r>
            <w:r w:rsidRPr="0050342E">
              <w:t xml:space="preserve"> (prir. B. Hećimović), Zagreb, 1982. </w:t>
            </w:r>
          </w:p>
          <w:p w:rsidR="00043F8B" w:rsidRPr="0050342E" w:rsidRDefault="00043F8B" w:rsidP="002E33D5">
            <w:pPr>
              <w:spacing w:after="0" w:line="240" w:lineRule="auto"/>
              <w:ind w:right="567"/>
              <w:jc w:val="both"/>
            </w:pPr>
            <w:r w:rsidRPr="0050342E">
              <w:t xml:space="preserve">6. Juvan, Marko, </w:t>
            </w:r>
            <w:r w:rsidRPr="0050342E">
              <w:rPr>
                <w:i/>
              </w:rPr>
              <w:t>Postmodernizam i „Mlada slovenska proza“,</w:t>
            </w:r>
            <w:r w:rsidRPr="0050342E">
              <w:t xml:space="preserve"> Quorum, br. 3. 1989., str </w:t>
            </w:r>
          </w:p>
          <w:p w:rsidR="00043F8B" w:rsidRPr="0050342E" w:rsidRDefault="00043F8B" w:rsidP="002E33D5">
            <w:pPr>
              <w:spacing w:after="0" w:line="240" w:lineRule="auto"/>
              <w:ind w:right="567"/>
              <w:jc w:val="both"/>
            </w:pPr>
            <w:r w:rsidRPr="0050342E">
              <w:t xml:space="preserve">    220-227. </w:t>
            </w:r>
          </w:p>
          <w:p w:rsidR="00043F8B" w:rsidRPr="0050342E" w:rsidRDefault="00043F8B" w:rsidP="002E33D5">
            <w:pPr>
              <w:spacing w:after="0" w:line="240" w:lineRule="auto"/>
              <w:ind w:right="567"/>
              <w:jc w:val="both"/>
            </w:pPr>
            <w:r w:rsidRPr="0050342E">
              <w:t xml:space="preserve">7. Kos, Janko, </w:t>
            </w:r>
            <w:r w:rsidRPr="0050342E">
              <w:rPr>
                <w:i/>
              </w:rPr>
              <w:t>Postmodernizem</w:t>
            </w:r>
            <w:r w:rsidRPr="0050342E">
              <w:t xml:space="preserve">, Ljubljana, 1995. </w:t>
            </w:r>
          </w:p>
          <w:p w:rsidR="00043F8B" w:rsidRPr="0050342E" w:rsidRDefault="00043F8B" w:rsidP="002E33D5">
            <w:pPr>
              <w:spacing w:after="0" w:line="240" w:lineRule="auto"/>
              <w:ind w:right="567"/>
              <w:jc w:val="both"/>
            </w:pPr>
            <w:r w:rsidRPr="0050342E">
              <w:t xml:space="preserve">8. Zupan Sosič, Alojzija: </w:t>
            </w:r>
            <w:r w:rsidRPr="0050342E">
              <w:rPr>
                <w:i/>
              </w:rPr>
              <w:t>Zavetje zgodbe: sodobni slovenski roman ob koncu stoletja</w:t>
            </w:r>
            <w:r w:rsidRPr="0050342E">
              <w:t xml:space="preserve">, </w:t>
            </w:r>
          </w:p>
          <w:p w:rsidR="00043F8B" w:rsidRPr="0050342E" w:rsidRDefault="00043F8B" w:rsidP="002E33D5">
            <w:pPr>
              <w:spacing w:after="0" w:line="240" w:lineRule="auto"/>
              <w:ind w:right="567"/>
              <w:jc w:val="both"/>
            </w:pPr>
            <w:r w:rsidRPr="0050342E">
              <w:t xml:space="preserve">      Ljubljana, 2003.</w:t>
            </w:r>
          </w:p>
          <w:p w:rsidR="00043F8B" w:rsidRPr="00C2353C" w:rsidRDefault="00043F8B" w:rsidP="002E33D5">
            <w:pPr>
              <w:spacing w:after="0" w:line="360" w:lineRule="auto"/>
              <w:ind w:right="567"/>
              <w:jc w:val="both"/>
              <w:rPr>
                <w:rFonts w:ascii="Cambria" w:hAnsi="Cambria"/>
                <w:sz w:val="24"/>
                <w:szCs w:val="24"/>
              </w:rPr>
            </w:pPr>
          </w:p>
          <w:p w:rsidR="00043F8B" w:rsidRPr="001674B6" w:rsidRDefault="00043F8B" w:rsidP="002E33D5">
            <w:pPr>
              <w:spacing w:after="0" w:line="240" w:lineRule="auto"/>
              <w:rPr>
                <w:rFonts w:cs="Calibri"/>
              </w:rPr>
            </w:pPr>
          </w:p>
          <w:p w:rsidR="00043F8B" w:rsidRPr="001674B6" w:rsidRDefault="00043F8B" w:rsidP="002E33D5">
            <w:pPr>
              <w:spacing w:after="0" w:line="240" w:lineRule="auto"/>
              <w:rPr>
                <w:rFonts w:cs="Calibri"/>
              </w:rPr>
            </w:pPr>
          </w:p>
        </w:tc>
      </w:tr>
    </w:tbl>
    <w:p w:rsidR="00D11153" w:rsidRDefault="00D11153"/>
    <w:sectPr w:rsidR="00D11153" w:rsidSect="00D111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69E" w:rsidRDefault="0021569E" w:rsidP="00043F8B">
      <w:pPr>
        <w:spacing w:after="0" w:line="240" w:lineRule="auto"/>
      </w:pPr>
      <w:r>
        <w:separator/>
      </w:r>
    </w:p>
  </w:endnote>
  <w:endnote w:type="continuationSeparator" w:id="1">
    <w:p w:rsidR="0021569E" w:rsidRDefault="0021569E" w:rsidP="00043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69E" w:rsidRDefault="0021569E" w:rsidP="00043F8B">
      <w:pPr>
        <w:spacing w:after="0" w:line="240" w:lineRule="auto"/>
      </w:pPr>
      <w:r>
        <w:separator/>
      </w:r>
    </w:p>
  </w:footnote>
  <w:footnote w:type="continuationSeparator" w:id="1">
    <w:p w:rsidR="0021569E" w:rsidRDefault="0021569E" w:rsidP="00043F8B">
      <w:pPr>
        <w:spacing w:after="0" w:line="240" w:lineRule="auto"/>
      </w:pPr>
      <w:r>
        <w:continuationSeparator/>
      </w:r>
    </w:p>
  </w:footnote>
  <w:footnote w:id="2">
    <w:p w:rsidR="00043F8B" w:rsidRPr="00D12733" w:rsidRDefault="00043F8B" w:rsidP="00043F8B">
      <w:pPr>
        <w:spacing w:after="0" w:line="240" w:lineRule="auto"/>
        <w:jc w:val="both"/>
        <w:rPr>
          <w:sz w:val="20"/>
          <w:szCs w:val="20"/>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3">
    <w:p w:rsidR="00043F8B" w:rsidRPr="00D12733" w:rsidRDefault="00043F8B" w:rsidP="00043F8B">
      <w:pPr>
        <w:spacing w:after="0" w:line="240" w:lineRule="auto"/>
        <w:jc w:val="both"/>
        <w:rPr>
          <w:sz w:val="20"/>
          <w:szCs w:val="20"/>
        </w:rPr>
      </w:pPr>
      <w:r w:rsidRPr="00D12733">
        <w:rPr>
          <w:rStyle w:val="FootnoteReference"/>
          <w:sz w:val="20"/>
          <w:szCs w:val="20"/>
        </w:rPr>
        <w:footnoteRef/>
      </w:r>
      <w:r w:rsidRPr="00D12733">
        <w:rPr>
          <w:sz w:val="20"/>
          <w:szCs w:val="20"/>
        </w:rPr>
        <w:t xml:space="preserve"> Winter, Summer, Academic Year</w:t>
      </w:r>
    </w:p>
  </w:footnote>
  <w:footnote w:id="4">
    <w:p w:rsidR="00043F8B" w:rsidRPr="00C64195" w:rsidRDefault="00043F8B" w:rsidP="00043F8B">
      <w:pPr>
        <w:pStyle w:val="FootnoteText"/>
        <w:jc w:val="both"/>
        <w:rPr>
          <w:lang w:val="hr-HR"/>
        </w:rPr>
      </w:pPr>
      <w:r>
        <w:rPr>
          <w:rStyle w:val="FootnoteReference"/>
        </w:rPr>
        <w:footnoteRef/>
      </w:r>
      <w:r>
        <w:t xml:space="preserve"> Teaching language according to the regular programme (e.g. Croatian, French, Slovenian…)</w:t>
      </w:r>
    </w:p>
  </w:footnote>
  <w:footnote w:id="5">
    <w:p w:rsidR="00043F8B" w:rsidRPr="00D12733" w:rsidRDefault="00043F8B" w:rsidP="00043F8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6">
    <w:p w:rsidR="00043F8B" w:rsidRPr="00D12733" w:rsidRDefault="00043F8B" w:rsidP="00043F8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7">
    <w:p w:rsidR="00043F8B" w:rsidRDefault="00043F8B" w:rsidP="00043F8B">
      <w:pPr>
        <w:pStyle w:val="FootnoteText"/>
        <w:jc w:val="both"/>
      </w:pPr>
      <w:r w:rsidRPr="00D12733">
        <w:rPr>
          <w:rStyle w:val="FootnoteReference"/>
        </w:rPr>
        <w:footnoteRef/>
      </w:r>
      <w:r>
        <w:t xml:space="preserve"> </w:t>
      </w:r>
      <w:r w:rsidRPr="00D933EA">
        <w:rPr>
          <w:b/>
        </w:rPr>
        <w:t>Language options for guest (exchange) students):</w:t>
      </w:r>
    </w:p>
    <w:p w:rsidR="00043F8B" w:rsidRPr="00D12733" w:rsidRDefault="00043F8B" w:rsidP="00043F8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043F8B" w:rsidRPr="00D12733" w:rsidRDefault="00043F8B" w:rsidP="00043F8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8">
    <w:p w:rsidR="00043F8B" w:rsidRPr="00D12733" w:rsidRDefault="00043F8B" w:rsidP="00043F8B">
      <w:pPr>
        <w:spacing w:after="0" w:line="240" w:lineRule="auto"/>
        <w:jc w:val="both"/>
        <w:rPr>
          <w:sz w:val="20"/>
          <w:szCs w:val="20"/>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9">
    <w:p w:rsidR="00043F8B" w:rsidRPr="00D12733" w:rsidRDefault="00043F8B" w:rsidP="00043F8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043F8B" w:rsidRPr="00D12733" w:rsidRDefault="00043F8B" w:rsidP="00043F8B">
      <w:pPr>
        <w:spacing w:after="0" w:line="240" w:lineRule="auto"/>
        <w:jc w:val="both"/>
        <w:rPr>
          <w:sz w:val="20"/>
          <w:szCs w:val="20"/>
        </w:rPr>
      </w:pPr>
      <w:r w:rsidRPr="00D12733">
        <w:rPr>
          <w:sz w:val="20"/>
          <w:szCs w:val="20"/>
        </w:rPr>
        <w:t xml:space="preserve">Additional: </w:t>
      </w:r>
    </w:p>
    <w:p w:rsidR="00043F8B" w:rsidRPr="00D12733" w:rsidRDefault="00043F8B" w:rsidP="00043F8B">
      <w:pPr>
        <w:spacing w:after="0" w:line="240" w:lineRule="auto"/>
        <w:jc w:val="both"/>
        <w:rPr>
          <w:sz w:val="20"/>
          <w:szCs w:val="20"/>
        </w:rPr>
      </w:pPr>
      <w:r w:rsidRPr="00D12733">
        <w:rPr>
          <w:sz w:val="20"/>
          <w:szCs w:val="20"/>
        </w:rPr>
        <w:t>RA - Regular Attendance (No ECTS credits awarded for course attendance only)</w:t>
      </w:r>
    </w:p>
    <w:p w:rsidR="00043F8B" w:rsidRPr="00D12733" w:rsidRDefault="00043F8B" w:rsidP="00043F8B">
      <w:pPr>
        <w:spacing w:after="0" w:line="240" w:lineRule="auto"/>
        <w:jc w:val="both"/>
        <w:rPr>
          <w:sz w:val="20"/>
          <w:szCs w:val="20"/>
        </w:rPr>
      </w:pPr>
      <w:r w:rsidRPr="00D12733">
        <w:rPr>
          <w:sz w:val="20"/>
          <w:szCs w:val="20"/>
        </w:rPr>
        <w:t>C - Completed (Student has completed proscribed obligations/no ECTS credits awarded)</w:t>
      </w:r>
    </w:p>
    <w:p w:rsidR="00043F8B" w:rsidRPr="00D12733" w:rsidRDefault="00043F8B" w:rsidP="00043F8B">
      <w:pPr>
        <w:spacing w:after="0" w:line="240" w:lineRule="auto"/>
        <w:jc w:val="both"/>
        <w:rPr>
          <w:sz w:val="20"/>
          <w:szCs w:val="20"/>
        </w:rPr>
      </w:pPr>
      <w:r w:rsidRPr="00D12733">
        <w:rPr>
          <w:sz w:val="20"/>
          <w:szCs w:val="20"/>
        </w:rPr>
        <w:t>C+ – Completed + ECTS (Student has completed proscribed obligations + ECTS credits awarded)</w:t>
      </w:r>
    </w:p>
    <w:p w:rsidR="00043F8B" w:rsidRPr="00D12733" w:rsidRDefault="00043F8B" w:rsidP="00043F8B">
      <w:pPr>
        <w:pStyle w:val="FootnoteText"/>
        <w:rPr>
          <w:lang w:val="hr-H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472B4"/>
    <w:multiLevelType w:val="hybridMultilevel"/>
    <w:tmpl w:val="7674D3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3F8B"/>
    <w:rsid w:val="00043F8B"/>
    <w:rsid w:val="0021569E"/>
    <w:rsid w:val="00D11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8B"/>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3F8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43F8B"/>
    <w:rPr>
      <w:rFonts w:ascii="Calibri" w:eastAsia="Calibri" w:hAnsi="Calibri" w:cs="Times New Roman"/>
      <w:sz w:val="20"/>
      <w:szCs w:val="20"/>
      <w:lang w:val="en-US"/>
    </w:rPr>
  </w:style>
  <w:style w:type="character" w:styleId="FootnoteReference">
    <w:name w:val="footnote reference"/>
    <w:uiPriority w:val="99"/>
    <w:unhideWhenUsed/>
    <w:rsid w:val="00043F8B"/>
    <w:rPr>
      <w:vertAlign w:val="superscript"/>
    </w:rPr>
  </w:style>
  <w:style w:type="character" w:styleId="Emphasis">
    <w:name w:val="Emphasis"/>
    <w:uiPriority w:val="20"/>
    <w:qFormat/>
    <w:rsid w:val="00043F8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Company>Hewlett-Packard Company</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1</cp:revision>
  <dcterms:created xsi:type="dcterms:W3CDTF">2019-05-07T04:00:00Z</dcterms:created>
  <dcterms:modified xsi:type="dcterms:W3CDTF">2019-05-07T04:00:00Z</dcterms:modified>
</cp:coreProperties>
</file>