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132"/>
        <w:gridCol w:w="3132"/>
        <w:gridCol w:w="3133"/>
      </w:tblGrid>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 xml:space="preserve">STUDY PROGRAMME: </w:t>
            </w:r>
            <w:r w:rsidRPr="000D66C1">
              <w:rPr>
                <w:rFonts w:cs="Calibri"/>
                <w:b/>
              </w:rPr>
              <w:t>South Slavic languages and literatures</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Level and Year</w:t>
            </w:r>
            <w:r>
              <w:rPr>
                <w:rStyle w:val="FootnoteReference"/>
                <w:rFonts w:cs="Calibri"/>
              </w:rPr>
              <w:footnoteReference w:id="2"/>
            </w:r>
            <w:r>
              <w:rPr>
                <w:rFonts w:cs="Calibri"/>
              </w:rPr>
              <w:t xml:space="preserve">: </w:t>
            </w:r>
            <w:r>
              <w:rPr>
                <w:rFonts w:cs="Calibri"/>
                <w:color w:val="FF0000"/>
              </w:rPr>
              <w:t xml:space="preserve"> BA 2</w:t>
            </w:r>
            <w:r>
              <w:rPr>
                <w:rFonts w:cs="Calibri"/>
                <w:color w:val="FF0000"/>
                <w:vertAlign w:val="superscript"/>
              </w:rPr>
              <w:t xml:space="preserve">nd </w:t>
            </w:r>
            <w:r>
              <w:rPr>
                <w:rFonts w:cs="Calibri"/>
                <w:color w:val="FF0000"/>
              </w:rPr>
              <w:t>and 3</w:t>
            </w:r>
            <w:r>
              <w:rPr>
                <w:rFonts w:cs="Calibri"/>
                <w:color w:val="FF0000"/>
                <w:vertAlign w:val="superscript"/>
              </w:rPr>
              <w:t xml:space="preserve">rd </w:t>
            </w:r>
            <w:r>
              <w:rPr>
                <w:rFonts w:cs="Calibri"/>
                <w:color w:val="FF0000"/>
              </w:rPr>
              <w:t>year</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 xml:space="preserve">Course Title: </w:t>
            </w:r>
            <w:r w:rsidRPr="00FA32D3">
              <w:rPr>
                <w:rFonts w:cs="Calibri"/>
                <w:b/>
                <w:i/>
                <w:iCs/>
              </w:rPr>
              <w:t>Macedonian Drama</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Course Description:</w:t>
            </w:r>
          </w:p>
          <w:p w:rsidR="00FB6AFE" w:rsidRDefault="00FB6AFE" w:rsidP="002E33D5">
            <w:pPr>
              <w:spacing w:after="0" w:line="240" w:lineRule="auto"/>
            </w:pPr>
            <w:r>
              <w:rPr>
                <w:rFonts w:cs="Calibri"/>
              </w:rPr>
              <w:t>The course offers an overview of the history of Macedonian drama and theatre with emphasis on the 2</w:t>
            </w:r>
            <w:r>
              <w:rPr>
                <w:rFonts w:cs="Calibri"/>
                <w:vertAlign w:val="superscript"/>
              </w:rPr>
              <w:t>nd</w:t>
            </w:r>
            <w:r>
              <w:rPr>
                <w:rFonts w:cs="Calibri"/>
              </w:rPr>
              <w:t xml:space="preserve"> half of the 20</w:t>
            </w:r>
            <w:r>
              <w:rPr>
                <w:rFonts w:cs="Calibri"/>
                <w:vertAlign w:val="superscript"/>
              </w:rPr>
              <w:t>th</w:t>
            </w:r>
            <w:r>
              <w:rPr>
                <w:rFonts w:cs="Calibri"/>
              </w:rPr>
              <w:t xml:space="preserve"> Century and on the most representative authors (Čašule, Stefanovski, Plevneš, Dukovski). Students will be expected to read selected plays for classrooom discussions which will be available online (Omega). Students will also be expected to write short analyses of selected plays. </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Semester</w:t>
            </w:r>
            <w:r>
              <w:rPr>
                <w:rStyle w:val="FootnoteReference"/>
                <w:rFonts w:cs="Calibri"/>
              </w:rPr>
              <w:footnoteReference w:id="3"/>
            </w:r>
            <w:r>
              <w:rPr>
                <w:rFonts w:cs="Calibri"/>
              </w:rPr>
              <w:t>:</w:t>
            </w:r>
            <w:r>
              <w:rPr>
                <w:rFonts w:cs="Calibri"/>
                <w:color w:val="FF0000"/>
              </w:rPr>
              <w:t xml:space="preserve"> Summer semester</w:t>
            </w:r>
          </w:p>
        </w:tc>
      </w:tr>
      <w:tr w:rsidR="00FB6AFE" w:rsidTr="002E33D5">
        <w:trPr>
          <w:trHeight w:val="512"/>
        </w:trPr>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 xml:space="preserve">Lecturer(s)/Teacher(s): </w:t>
            </w:r>
          </w:p>
          <w:p w:rsidR="00FB6AFE" w:rsidRDefault="00FB6AFE" w:rsidP="002E33D5">
            <w:pPr>
              <w:spacing w:after="0" w:line="240" w:lineRule="auto"/>
            </w:pPr>
            <w:r>
              <w:rPr>
                <w:rFonts w:cs="Calibri"/>
              </w:rPr>
              <w:t xml:space="preserve">Ivica Baković, assist. prof. </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Teaching Language (regular)</w:t>
            </w:r>
            <w:r>
              <w:rPr>
                <w:rStyle w:val="FootnoteReference"/>
                <w:rFonts w:cs="Calibri"/>
              </w:rPr>
              <w:footnoteReference w:id="4"/>
            </w:r>
            <w:r>
              <w:rPr>
                <w:rFonts w:cs="Calibri"/>
              </w:rPr>
              <w:t xml:space="preserve">: </w:t>
            </w:r>
          </w:p>
          <w:p w:rsidR="00FB6AFE" w:rsidRDefault="00FB6AFE" w:rsidP="002E33D5">
            <w:pPr>
              <w:spacing w:after="0" w:line="240" w:lineRule="auto"/>
            </w:pPr>
            <w:r>
              <w:rPr>
                <w:rFonts w:cs="Calibri"/>
              </w:rPr>
              <w:t>Croatian, Macedonian</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rPr>
                <w:rFonts w:cs="Calibri"/>
              </w:rPr>
            </w:pPr>
            <w:r>
              <w:rPr>
                <w:rFonts w:cs="Calibri"/>
              </w:rPr>
              <w:t>Teaching Methods (regular):</w:t>
            </w:r>
            <w:r>
              <w:rPr>
                <w:rStyle w:val="FootnoteReference"/>
                <w:rFonts w:cs="Calibri"/>
              </w:rPr>
              <w:footnoteReference w:id="5"/>
            </w:r>
          </w:p>
          <w:p w:rsidR="00FB6AFE" w:rsidRDefault="00FB6AFE" w:rsidP="002E33D5">
            <w:pPr>
              <w:spacing w:after="0" w:line="240" w:lineRule="auto"/>
            </w:pPr>
            <w:r>
              <w:rPr>
                <w:rFonts w:cs="Calibri"/>
              </w:rPr>
              <w:t>Direct instructions: teaching through lectures and seminars; Presentations; Classroom discussion; E-Learning (Omega)</w:t>
            </w:r>
          </w:p>
        </w:tc>
      </w:tr>
      <w:tr w:rsidR="00FB6AFE" w:rsidTr="002E33D5">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Teaching:</w:t>
            </w:r>
          </w:p>
        </w:tc>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Weekly (hours)</w:t>
            </w:r>
          </w:p>
        </w:tc>
        <w:tc>
          <w:tcPr>
            <w:tcW w:w="3133"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Semester (hours)</w:t>
            </w:r>
          </w:p>
          <w:p w:rsidR="00FB6AFE" w:rsidRDefault="00FB6AFE" w:rsidP="002E33D5">
            <w:pPr>
              <w:spacing w:after="0" w:line="240" w:lineRule="auto"/>
              <w:rPr>
                <w:rFonts w:cs="Calibri"/>
              </w:rPr>
            </w:pPr>
          </w:p>
        </w:tc>
      </w:tr>
      <w:tr w:rsidR="00FB6AFE" w:rsidTr="002E33D5">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Lectures:</w:t>
            </w:r>
          </w:p>
        </w:tc>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1</w:t>
            </w:r>
          </w:p>
        </w:tc>
        <w:tc>
          <w:tcPr>
            <w:tcW w:w="3133"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15</w:t>
            </w:r>
          </w:p>
        </w:tc>
      </w:tr>
      <w:tr w:rsidR="00FB6AFE" w:rsidTr="002E33D5">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Exercises:</w:t>
            </w:r>
          </w:p>
        </w:tc>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0</w:t>
            </w:r>
          </w:p>
        </w:tc>
        <w:tc>
          <w:tcPr>
            <w:tcW w:w="3133"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0</w:t>
            </w:r>
          </w:p>
        </w:tc>
      </w:tr>
      <w:tr w:rsidR="00FB6AFE" w:rsidTr="002E33D5">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Seminars:</w:t>
            </w:r>
          </w:p>
        </w:tc>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1</w:t>
            </w:r>
          </w:p>
        </w:tc>
        <w:tc>
          <w:tcPr>
            <w:tcW w:w="3133" w:type="dxa"/>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15</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ECTS: 4</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Teaching language and level</w:t>
            </w:r>
            <w:r>
              <w:rPr>
                <w:rStyle w:val="FootnoteReference"/>
                <w:rFonts w:cs="Calibri"/>
              </w:rPr>
              <w:footnoteReference w:id="6"/>
            </w:r>
            <w:r>
              <w:rPr>
                <w:rFonts w:cs="Calibri"/>
              </w:rPr>
              <w:t xml:space="preserve">  for guest (exchange) students:</w:t>
            </w:r>
          </w:p>
          <w:p w:rsidR="00FB6AFE" w:rsidRDefault="00FB6AFE" w:rsidP="002E33D5">
            <w:pPr>
              <w:spacing w:after="0" w:line="240" w:lineRule="auto"/>
            </w:pPr>
            <w:r>
              <w:rPr>
                <w:rFonts w:cs="Calibri"/>
              </w:rPr>
              <w:t>Croatian or Macedonian B2</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Teaching Methods</w:t>
            </w:r>
            <w:r>
              <w:rPr>
                <w:rStyle w:val="FootnoteReference"/>
                <w:rFonts w:cs="Calibri"/>
              </w:rPr>
              <w:footnoteReference w:id="7"/>
            </w:r>
            <w:r>
              <w:rPr>
                <w:rFonts w:cs="Calibri"/>
              </w:rPr>
              <w:t xml:space="preserve"> for guest (exchange) students:</w:t>
            </w:r>
          </w:p>
          <w:p w:rsidR="00FB6AFE" w:rsidRDefault="00FB6AFE" w:rsidP="002E33D5">
            <w:pPr>
              <w:spacing w:after="0" w:line="240" w:lineRule="auto"/>
            </w:pPr>
            <w:r>
              <w:rPr>
                <w:rFonts w:cs="Calibri"/>
              </w:rPr>
              <w:t>L1</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Evaluation Methods</w:t>
            </w:r>
            <w:r>
              <w:rPr>
                <w:rStyle w:val="FootnoteReference"/>
                <w:rFonts w:cs="Calibri"/>
              </w:rPr>
              <w:footnoteReference w:id="8"/>
            </w:r>
            <w:r>
              <w:rPr>
                <w:rFonts w:cs="Calibri"/>
              </w:rPr>
              <w:t xml:space="preserve"> and Grading</w:t>
            </w:r>
            <w:r>
              <w:rPr>
                <w:rStyle w:val="FootnoteReference"/>
                <w:rFonts w:cs="Calibri"/>
              </w:rPr>
              <w:footnoteReference w:id="9"/>
            </w:r>
            <w:r>
              <w:rPr>
                <w:rFonts w:cs="Calibri"/>
              </w:rPr>
              <w:t>:</w:t>
            </w:r>
          </w:p>
          <w:p w:rsidR="00FB6AFE" w:rsidRDefault="00FB6AFE" w:rsidP="002E33D5">
            <w:pPr>
              <w:spacing w:after="0" w:line="240" w:lineRule="auto"/>
            </w:pPr>
            <w:r>
              <w:rPr>
                <w:rFonts w:cs="Calibri"/>
              </w:rPr>
              <w:t>Class attendance, essay, oral exam</w:t>
            </w:r>
          </w:p>
          <w:p w:rsidR="00FB6AFE" w:rsidRDefault="00FB6AFE" w:rsidP="002E33D5">
            <w:pPr>
              <w:spacing w:after="0" w:line="240" w:lineRule="auto"/>
            </w:pPr>
            <w:r>
              <w:rPr>
                <w:rFonts w:cs="Calibri"/>
              </w:rPr>
              <w:lastRenderedPageBreak/>
              <w:t>Standard / institutional grading system</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lastRenderedPageBreak/>
              <w:t>Learning Outcomes:</w:t>
            </w:r>
          </w:p>
          <w:p w:rsidR="00FB6AFE" w:rsidRDefault="00FB6AFE" w:rsidP="002E33D5">
            <w:pPr>
              <w:spacing w:after="0" w:line="240" w:lineRule="auto"/>
            </w:pPr>
            <w:r>
              <w:rPr>
                <w:rFonts w:cs="Calibri"/>
              </w:rPr>
              <w:t>1. to describe the historical development of Macedonian drama;</w:t>
            </w:r>
          </w:p>
          <w:p w:rsidR="00FB6AFE" w:rsidRDefault="00FB6AFE" w:rsidP="002E33D5">
            <w:pPr>
              <w:spacing w:after="0" w:line="240" w:lineRule="auto"/>
            </w:pPr>
            <w:r>
              <w:rPr>
                <w:rFonts w:cs="Calibri"/>
              </w:rPr>
              <w:t>2. to name the most representative Macedonian playwrights;</w:t>
            </w:r>
          </w:p>
          <w:p w:rsidR="00FB6AFE" w:rsidRDefault="00FB6AFE" w:rsidP="002E33D5">
            <w:pPr>
              <w:spacing w:after="0" w:line="240" w:lineRule="auto"/>
            </w:pPr>
            <w:r>
              <w:rPr>
                <w:rFonts w:cs="Calibri"/>
              </w:rPr>
              <w:t>3. to analyze selected plays in the context of Macedonian literature;</w:t>
            </w:r>
          </w:p>
          <w:p w:rsidR="00FB6AFE" w:rsidRDefault="00FB6AFE" w:rsidP="002E33D5">
            <w:pPr>
              <w:spacing w:after="0" w:line="240" w:lineRule="auto"/>
            </w:pPr>
            <w:r>
              <w:rPr>
                <w:rFonts w:cs="Calibri"/>
              </w:rPr>
              <w:t>4. to recognize and compare similar phenomena in other South Slavic literatures.</w:t>
            </w:r>
          </w:p>
        </w:tc>
      </w:tr>
      <w:tr w:rsidR="00FB6AFE"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FB6AFE" w:rsidRDefault="00FB6AFE" w:rsidP="002E33D5">
            <w:pPr>
              <w:spacing w:after="0" w:line="240" w:lineRule="auto"/>
            </w:pPr>
            <w:r>
              <w:rPr>
                <w:rFonts w:cs="Calibri"/>
              </w:rPr>
              <w:t>Literature:</w:t>
            </w:r>
          </w:p>
          <w:p w:rsidR="00FB6AFE" w:rsidRDefault="00FB6AFE" w:rsidP="002E33D5">
            <w:pPr>
              <w:spacing w:after="0" w:line="240" w:lineRule="auto"/>
            </w:pPr>
            <w:r>
              <w:rPr>
                <w:rFonts w:cs="Calibri"/>
              </w:rPr>
              <w:t xml:space="preserve">Venko Andonovski, </w:t>
            </w:r>
            <w:r>
              <w:rPr>
                <w:rFonts w:cs="Calibri"/>
                <w:i/>
                <w:iCs/>
              </w:rPr>
              <w:t xml:space="preserve">The Slavic Chest </w:t>
            </w:r>
            <w:r>
              <w:rPr>
                <w:rFonts w:cs="Calibri"/>
              </w:rPr>
              <w:t>(1998) (Macedonian and English)</w:t>
            </w:r>
          </w:p>
          <w:p w:rsidR="00FB6AFE" w:rsidRDefault="00FB6AFE" w:rsidP="002E33D5">
            <w:pPr>
              <w:spacing w:after="0" w:line="240" w:lineRule="auto"/>
            </w:pPr>
            <w:r>
              <w:rPr>
                <w:rFonts w:cs="Calibri"/>
              </w:rPr>
              <w:t xml:space="preserve">Kole Čašule, </w:t>
            </w:r>
            <w:r>
              <w:rPr>
                <w:rFonts w:cs="Calibri"/>
                <w:i/>
                <w:iCs/>
              </w:rPr>
              <w:t>Darkness</w:t>
            </w:r>
            <w:r>
              <w:rPr>
                <w:rFonts w:cs="Calibri"/>
              </w:rPr>
              <w:t xml:space="preserve"> (1961) (Macedonian, Croatian and English)</w:t>
            </w:r>
          </w:p>
          <w:p w:rsidR="00FB6AFE" w:rsidRDefault="00FB6AFE" w:rsidP="002E33D5">
            <w:pPr>
              <w:spacing w:after="0" w:line="240" w:lineRule="auto"/>
            </w:pPr>
            <w:r>
              <w:rPr>
                <w:rFonts w:cs="Calibri"/>
              </w:rPr>
              <w:t xml:space="preserve">Dejan Dukovski, </w:t>
            </w:r>
            <w:r>
              <w:rPr>
                <w:rFonts w:cs="Calibri"/>
                <w:i/>
                <w:iCs/>
              </w:rPr>
              <w:t>Powder Keg</w:t>
            </w:r>
            <w:r>
              <w:rPr>
                <w:rFonts w:cs="Calibri"/>
              </w:rPr>
              <w:t xml:space="preserve"> (1993) (Macedonian, Croatian and English)</w:t>
            </w:r>
          </w:p>
          <w:p w:rsidR="00FB6AFE" w:rsidRDefault="00FB6AFE" w:rsidP="002E33D5">
            <w:pPr>
              <w:spacing w:after="0" w:line="240" w:lineRule="auto"/>
            </w:pPr>
            <w:r>
              <w:rPr>
                <w:rFonts w:cs="Calibri"/>
              </w:rPr>
              <w:t xml:space="preserve">Jelena Lužina, </w:t>
            </w:r>
            <w:r>
              <w:rPr>
                <w:rFonts w:cs="Calibri"/>
                <w:i/>
                <w:iCs/>
              </w:rPr>
              <w:t xml:space="preserve">Ten Modern Macedonian Plays </w:t>
            </w:r>
            <w:r>
              <w:rPr>
                <w:rFonts w:cs="Calibri"/>
              </w:rPr>
              <w:t>(2001) (English)</w:t>
            </w:r>
          </w:p>
          <w:p w:rsidR="00FB6AFE" w:rsidRDefault="00FB6AFE" w:rsidP="002E33D5">
            <w:pPr>
              <w:spacing w:after="0" w:line="240" w:lineRule="auto"/>
            </w:pPr>
            <w:r>
              <w:rPr>
                <w:rFonts w:cs="Calibri"/>
              </w:rPr>
              <w:t xml:space="preserve">Jordan Plevneš, </w:t>
            </w:r>
            <w:r>
              <w:rPr>
                <w:rFonts w:cs="Calibri"/>
                <w:i/>
                <w:iCs/>
              </w:rPr>
              <w:t xml:space="preserve">R </w:t>
            </w:r>
            <w:r>
              <w:rPr>
                <w:rFonts w:cs="Calibri"/>
              </w:rPr>
              <w:t>(1987) (Macedonian and English)</w:t>
            </w:r>
          </w:p>
          <w:p w:rsidR="00FB6AFE" w:rsidRDefault="00FB6AFE" w:rsidP="002E33D5">
            <w:pPr>
              <w:spacing w:after="0" w:line="240" w:lineRule="auto"/>
            </w:pPr>
            <w:r>
              <w:rPr>
                <w:rFonts w:cs="Calibri"/>
              </w:rPr>
              <w:t xml:space="preserve">Blagoja Risteski-Platnar, </w:t>
            </w:r>
            <w:r>
              <w:rPr>
                <w:rFonts w:cs="Calibri"/>
                <w:i/>
                <w:iCs/>
              </w:rPr>
              <w:t xml:space="preserve">Beautiful Angelina </w:t>
            </w:r>
            <w:r>
              <w:rPr>
                <w:rFonts w:cs="Calibri"/>
              </w:rPr>
              <w:t>(1995) (Macedonian and English)</w:t>
            </w:r>
          </w:p>
          <w:p w:rsidR="00FB6AFE" w:rsidRDefault="00FB6AFE" w:rsidP="002E33D5">
            <w:pPr>
              <w:spacing w:after="0" w:line="240" w:lineRule="auto"/>
            </w:pPr>
            <w:r>
              <w:rPr>
                <w:rFonts w:cs="Calibri"/>
              </w:rPr>
              <w:t xml:space="preserve">Goran Stefanovski, </w:t>
            </w:r>
            <w:r>
              <w:rPr>
                <w:rFonts w:cs="Calibri"/>
                <w:i/>
                <w:iCs/>
              </w:rPr>
              <w:t>Proud Flesh</w:t>
            </w:r>
            <w:r>
              <w:rPr>
                <w:rFonts w:cs="Calibri"/>
              </w:rPr>
              <w:t xml:space="preserve"> (1979) (Macedonian, Croatian and English) </w:t>
            </w: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86" w:rsidRDefault="00660B86" w:rsidP="00FB6AFE">
      <w:pPr>
        <w:spacing w:after="0" w:line="240" w:lineRule="auto"/>
      </w:pPr>
      <w:r>
        <w:separator/>
      </w:r>
    </w:p>
  </w:endnote>
  <w:endnote w:type="continuationSeparator" w:id="1">
    <w:p w:rsidR="00660B86" w:rsidRDefault="00660B86" w:rsidP="00FB6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nt420">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86" w:rsidRDefault="00660B86" w:rsidP="00FB6AFE">
      <w:pPr>
        <w:spacing w:after="0" w:line="240" w:lineRule="auto"/>
      </w:pPr>
      <w:r>
        <w:separator/>
      </w:r>
    </w:p>
  </w:footnote>
  <w:footnote w:type="continuationSeparator" w:id="1">
    <w:p w:rsidR="00660B86" w:rsidRDefault="00660B86" w:rsidP="00FB6AFE">
      <w:pPr>
        <w:spacing w:after="0" w:line="240" w:lineRule="auto"/>
      </w:pPr>
      <w:r>
        <w:continuationSeparator/>
      </w:r>
    </w:p>
  </w:footnote>
  <w:footnote w:id="2">
    <w:p w:rsidR="00FB6AFE" w:rsidRDefault="00FB6AFE" w:rsidP="00FB6AFE">
      <w:pPr>
        <w:spacing w:after="0"/>
      </w:pPr>
      <w:r>
        <w:rPr>
          <w:rStyle w:val="FootnoteCharacters"/>
        </w:rPr>
        <w:footnoteRef/>
      </w:r>
      <w:r>
        <w:rPr>
          <w:sz w:val="20"/>
          <w:szCs w:val="20"/>
        </w:rPr>
        <w:t xml:space="preserve"> BA, MA, PhD; 2</w:t>
      </w:r>
      <w:r>
        <w:rPr>
          <w:sz w:val="20"/>
          <w:szCs w:val="20"/>
          <w:vertAlign w:val="superscript"/>
        </w:rPr>
        <w:t>nd</w:t>
      </w:r>
      <w:r>
        <w:rPr>
          <w:sz w:val="20"/>
          <w:szCs w:val="20"/>
        </w:rPr>
        <w:t xml:space="preserve"> year …</w:t>
      </w:r>
    </w:p>
  </w:footnote>
  <w:footnote w:id="3">
    <w:p w:rsidR="00FB6AFE" w:rsidRDefault="00FB6AFE" w:rsidP="00FB6AFE">
      <w:pPr>
        <w:spacing w:after="0"/>
      </w:pPr>
      <w:r>
        <w:rPr>
          <w:rStyle w:val="FootnoteCharacters"/>
        </w:rPr>
        <w:footnoteRef/>
      </w:r>
      <w:r>
        <w:t xml:space="preserve"> </w:t>
      </w:r>
      <w:r>
        <w:rPr>
          <w:sz w:val="20"/>
          <w:szCs w:val="20"/>
        </w:rPr>
        <w:t>Winter, Summer, Academic Year</w:t>
      </w:r>
    </w:p>
  </w:footnote>
  <w:footnote w:id="4">
    <w:p w:rsidR="00FB6AFE" w:rsidRDefault="00FB6AFE" w:rsidP="00FB6AFE">
      <w:pPr>
        <w:spacing w:after="0"/>
      </w:pPr>
      <w:r>
        <w:rPr>
          <w:rStyle w:val="FootnoteCharacters"/>
        </w:rPr>
        <w:footnoteRef/>
      </w:r>
      <w:r>
        <w:t xml:space="preserve"> </w:t>
      </w:r>
      <w:r>
        <w:t>Teaching language according to the regular programme (e.g. Croatian, French, Slovenian…)</w:t>
      </w:r>
    </w:p>
  </w:footnote>
  <w:footnote w:id="5">
    <w:p w:rsidR="00FB6AFE" w:rsidRDefault="00FB6AFE" w:rsidP="00FB6AFE">
      <w:pPr>
        <w:spacing w:after="0"/>
      </w:pPr>
      <w:r>
        <w:rPr>
          <w:rStyle w:val="FootnoteCharacters"/>
        </w:rPr>
        <w:footnoteRef/>
      </w:r>
      <w:r>
        <w:t xml:space="preserve"> </w:t>
      </w:r>
      <w:r>
        <w:t>Direct instructions: teaching through lectures/seminars/exercises and teacher-led demonstrations in the classroom; Presentations; Classroom discussion; E-Learning (Omega, etc.); Fieldwork; Other (specify)</w:t>
      </w:r>
    </w:p>
  </w:footnote>
  <w:footnote w:id="6">
    <w:p w:rsidR="00FB6AFE" w:rsidRDefault="00FB6AFE" w:rsidP="00FB6AFE">
      <w:pPr>
        <w:spacing w:after="0"/>
      </w:pPr>
      <w:r>
        <w:rPr>
          <w:rStyle w:val="FootnoteCharacters"/>
        </w:rPr>
        <w:footnoteRef/>
      </w:r>
      <w:r>
        <w:t xml:space="preserve"> </w:t>
      </w:r>
      <w:r>
        <w:t>According to CEFR (e.g. English B2, German C1…)</w:t>
      </w:r>
    </w:p>
  </w:footnote>
  <w:footnote w:id="7">
    <w:p w:rsidR="00FB6AFE" w:rsidRDefault="00FB6AFE" w:rsidP="00FB6AFE">
      <w:pPr>
        <w:spacing w:after="0"/>
      </w:pPr>
      <w:r>
        <w:rPr>
          <w:rStyle w:val="FootnoteCharacters"/>
        </w:rPr>
        <w:footnoteRef/>
      </w:r>
      <w:r>
        <w:rPr>
          <w:b/>
        </w:rPr>
        <w:t xml:space="preserve"> </w:t>
      </w:r>
      <w:r>
        <w:rPr>
          <w:b/>
        </w:rPr>
        <w:t>Language options for guest (exchange) students):</w:t>
      </w:r>
    </w:p>
    <w:p w:rsidR="00FB6AFE" w:rsidRDefault="00FB6AFE" w:rsidP="00FB6AFE">
      <w:pPr>
        <w:pStyle w:val="footnotetext"/>
        <w:jc w:val="both"/>
      </w:pP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FB6AFE" w:rsidRDefault="00FB6AFE" w:rsidP="00FB6AFE">
      <w:pPr>
        <w:pStyle w:val="footnotetext"/>
        <w:jc w:val="both"/>
      </w:pPr>
      <w:r>
        <w:t>L2 - All teaching activities will be held in regular teaching language only.</w:t>
      </w:r>
    </w:p>
  </w:footnote>
  <w:footnote w:id="8">
    <w:p w:rsidR="00FB6AFE" w:rsidRDefault="00FB6AFE" w:rsidP="00FB6AFE">
      <w:pPr>
        <w:spacing w:after="0"/>
      </w:pPr>
      <w:r>
        <w:rPr>
          <w:rStyle w:val="FootnoteCharacters"/>
        </w:rPr>
        <w:footnoteRef/>
      </w:r>
      <w:r>
        <w:t xml:space="preserve"> </w:t>
      </w:r>
      <w:r>
        <w:rPr>
          <w:sz w:val="20"/>
          <w:szCs w:val="20"/>
        </w:rPr>
        <w:t>Class attendance, Essay, Preliminary exam, Seminar paper, Practical work, Written exam, Oral Exam, Other (specify)</w:t>
      </w:r>
    </w:p>
  </w:footnote>
  <w:footnote w:id="9">
    <w:p w:rsidR="00FB6AFE" w:rsidRDefault="00FB6AFE" w:rsidP="00FB6AFE">
      <w:pPr>
        <w:spacing w:after="0"/>
      </w:pPr>
      <w:r>
        <w:rPr>
          <w:rStyle w:val="FootnoteCharacters"/>
        </w:rPr>
        <w:footnoteRef/>
      </w:r>
      <w:r>
        <w:t xml:space="preserve"> </w:t>
      </w:r>
      <w:r>
        <w:rPr>
          <w:sz w:val="20"/>
          <w:szCs w:val="20"/>
        </w:rPr>
        <w:t>Standard - the institutional grading system (5 Excellent; 4 Very good; 3 Good; 2 Sufficient; 1 Fail)</w:t>
      </w:r>
      <w:r>
        <w:t xml:space="preserve"> </w:t>
      </w:r>
      <w:r>
        <w:rPr>
          <w:sz w:val="20"/>
          <w:szCs w:val="20"/>
        </w:rPr>
        <w:t>Additional: RA - Regular Attendance (No ECTS credits awarded for course attendance only)</w:t>
      </w:r>
      <w:r>
        <w:t xml:space="preserve"> </w:t>
      </w:r>
      <w:r>
        <w:rPr>
          <w:sz w:val="20"/>
          <w:szCs w:val="20"/>
        </w:rPr>
        <w:t>C - Completed (Student has completed proscribed obligations/no ECTS credits awarded)</w:t>
      </w:r>
      <w:r>
        <w:t xml:space="preserve"> </w:t>
      </w:r>
      <w:r>
        <w:rPr>
          <w:sz w:val="20"/>
          <w:szCs w:val="20"/>
        </w:rPr>
        <w:t>C+ – Completed + ECTS (Student has completed proscribed obligations + ECTS credits awarded)</w:t>
      </w:r>
    </w:p>
    <w:p w:rsidR="00FB6AFE" w:rsidRDefault="00FB6AFE" w:rsidP="00FB6AFE">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6AFE"/>
    <w:rsid w:val="00660B86"/>
    <w:rsid w:val="00D11153"/>
    <w:rsid w:val="00FB6A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FE"/>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B6AFE"/>
    <w:rPr>
      <w:vertAlign w:val="superscript"/>
    </w:rPr>
  </w:style>
  <w:style w:type="character" w:customStyle="1" w:styleId="FootnoteCharacters">
    <w:name w:val="Footnote Characters"/>
    <w:rsid w:val="00FB6AFE"/>
  </w:style>
  <w:style w:type="character" w:customStyle="1" w:styleId="footnotereference0">
    <w:name w:val="footnote reference"/>
    <w:rsid w:val="00FB6AFE"/>
    <w:rPr>
      <w:vertAlign w:val="superscript"/>
    </w:rPr>
  </w:style>
  <w:style w:type="paragraph" w:customStyle="1" w:styleId="footnotetext">
    <w:name w:val="footnote text"/>
    <w:basedOn w:val="Normal"/>
    <w:rsid w:val="00FB6AFE"/>
    <w:pPr>
      <w:suppressAutoHyphens/>
      <w:spacing w:after="0" w:line="240" w:lineRule="auto"/>
    </w:pPr>
    <w:rPr>
      <w:rFonts w:cs="font42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1661</Characters>
  <Application>Microsoft Office Word</Application>
  <DocSecurity>0</DocSecurity>
  <Lines>13</Lines>
  <Paragraphs>3</Paragraphs>
  <ScaleCrop>false</ScaleCrop>
  <Company>Hewlett-Packard Company</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2019-05-07T03:58:00Z</dcterms:created>
  <dcterms:modified xsi:type="dcterms:W3CDTF">2019-05-07T04:00:00Z</dcterms:modified>
</cp:coreProperties>
</file>