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AD" w:rsidRDefault="00AA3BAD" w:rsidP="00AD200A">
      <w:pPr>
        <w:spacing w:line="240" w:lineRule="auto"/>
      </w:pPr>
    </w:p>
    <w:tbl>
      <w:tblPr>
        <w:tblStyle w:val="TableGrid"/>
        <w:tblpPr w:leftFromText="180" w:rightFromText="180" w:horzAnchor="margin" w:tblpY="885"/>
        <w:tblW w:w="9397" w:type="dxa"/>
        <w:tblCellMar>
          <w:left w:w="103" w:type="dxa"/>
        </w:tblCellMar>
        <w:tblLook w:val="04A0" w:firstRow="1" w:lastRow="0" w:firstColumn="1" w:lastColumn="0" w:noHBand="0" w:noVBand="1"/>
      </w:tblPr>
      <w:tblGrid>
        <w:gridCol w:w="3132"/>
        <w:gridCol w:w="3132"/>
        <w:gridCol w:w="3133"/>
      </w:tblGrid>
      <w:tr w:rsidR="00AA3BAD">
        <w:tc>
          <w:tcPr>
            <w:tcW w:w="9397" w:type="dxa"/>
            <w:gridSpan w:val="3"/>
            <w:shd w:val="clear" w:color="auto" w:fill="auto"/>
            <w:tcMar>
              <w:left w:w="103" w:type="dxa"/>
            </w:tcMar>
          </w:tcPr>
          <w:p w:rsidR="00AA3BAD" w:rsidRDefault="00FB0D23" w:rsidP="00AD200A">
            <w:pPr>
              <w:spacing w:after="0" w:line="240" w:lineRule="auto"/>
            </w:pPr>
            <w:r>
              <w:rPr>
                <w:rFonts w:cs="Calibri"/>
              </w:rPr>
              <w:t>STUDY PROGRAMME: Polish Language and Literature</w:t>
            </w:r>
          </w:p>
        </w:tc>
      </w:tr>
      <w:tr w:rsidR="00AA3BAD">
        <w:tc>
          <w:tcPr>
            <w:tcW w:w="9397" w:type="dxa"/>
            <w:gridSpan w:val="3"/>
            <w:shd w:val="clear" w:color="auto" w:fill="auto"/>
            <w:tcMar>
              <w:left w:w="103" w:type="dxa"/>
            </w:tcMar>
          </w:tcPr>
          <w:p w:rsidR="00AA3BAD" w:rsidRDefault="00FB0D23" w:rsidP="00AD200A">
            <w:pPr>
              <w:spacing w:after="0" w:line="240" w:lineRule="auto"/>
            </w:pPr>
            <w:r>
              <w:rPr>
                <w:rFonts w:cs="Calibri"/>
              </w:rPr>
              <w:t>Level and Year</w:t>
            </w:r>
            <w:r>
              <w:rPr>
                <w:rStyle w:val="FootnoteAnchor"/>
                <w:rFonts w:cs="Calibri"/>
              </w:rPr>
              <w:footnoteReference w:id="1"/>
            </w:r>
            <w:r>
              <w:rPr>
                <w:rFonts w:cs="Calibri"/>
              </w:rPr>
              <w:t xml:space="preserve">: </w:t>
            </w:r>
            <w:r>
              <w:rPr>
                <w:rFonts w:cs="Calibri"/>
                <w:color w:val="FF0000"/>
              </w:rPr>
              <w:t xml:space="preserve"> </w:t>
            </w:r>
            <w:r w:rsidR="00AD200A" w:rsidRPr="00C70DBA">
              <w:rPr>
                <w:rFonts w:cs="Calibri"/>
                <w:color w:val="FF0000"/>
              </w:rPr>
              <w:t xml:space="preserve"> MA, 1</w:t>
            </w:r>
            <w:r w:rsidR="00AD200A" w:rsidRPr="00C70DBA">
              <w:rPr>
                <w:rFonts w:cs="Calibri"/>
                <w:color w:val="FF0000"/>
                <w:vertAlign w:val="superscript"/>
              </w:rPr>
              <w:t>st</w:t>
            </w:r>
            <w:r w:rsidR="00AD200A" w:rsidRPr="00C70DBA">
              <w:rPr>
                <w:rFonts w:cs="Calibri"/>
                <w:color w:val="FF0000"/>
              </w:rPr>
              <w:t xml:space="preserve"> year</w:t>
            </w:r>
          </w:p>
        </w:tc>
      </w:tr>
      <w:tr w:rsidR="00AA3BAD">
        <w:tc>
          <w:tcPr>
            <w:tcW w:w="9397" w:type="dxa"/>
            <w:gridSpan w:val="3"/>
            <w:shd w:val="clear" w:color="auto" w:fill="auto"/>
            <w:tcMar>
              <w:left w:w="103" w:type="dxa"/>
            </w:tcMar>
          </w:tcPr>
          <w:p w:rsidR="00AA3BAD" w:rsidRPr="00AD200A" w:rsidRDefault="00FB0D23" w:rsidP="00AD200A">
            <w:pPr>
              <w:spacing w:line="240" w:lineRule="auto"/>
              <w:rPr>
                <w:rFonts w:cs="Calibri"/>
              </w:rPr>
            </w:pPr>
            <w:r>
              <w:rPr>
                <w:rFonts w:cs="Calibri"/>
              </w:rPr>
              <w:t xml:space="preserve">Course Title: </w:t>
            </w:r>
            <w:r w:rsidR="00AD200A" w:rsidRPr="00C70DBA">
              <w:rPr>
                <w:rFonts w:cs="Calibri"/>
              </w:rPr>
              <w:t xml:space="preserve"> </w:t>
            </w:r>
            <w:r w:rsidR="00AD200A">
              <w:rPr>
                <w:rStyle w:val="tlid-translation"/>
              </w:rPr>
              <w:t xml:space="preserve">Polish-Croatian </w:t>
            </w:r>
            <w:proofErr w:type="spellStart"/>
            <w:r w:rsidR="00AD200A">
              <w:rPr>
                <w:rStyle w:val="tlid-translation"/>
              </w:rPr>
              <w:t>t</w:t>
            </w:r>
            <w:r w:rsidR="00AD200A" w:rsidRPr="00C70DBA">
              <w:rPr>
                <w:rStyle w:val="tlid-translation"/>
              </w:rPr>
              <w:t>ranslatological</w:t>
            </w:r>
            <w:proofErr w:type="spellEnd"/>
            <w:r w:rsidR="00AD200A" w:rsidRPr="00C70DBA">
              <w:rPr>
                <w:rStyle w:val="tlid-translation"/>
              </w:rPr>
              <w:t xml:space="preserve"> themes</w:t>
            </w:r>
          </w:p>
        </w:tc>
      </w:tr>
      <w:tr w:rsidR="00AA3BAD">
        <w:tc>
          <w:tcPr>
            <w:tcW w:w="9397" w:type="dxa"/>
            <w:gridSpan w:val="3"/>
            <w:shd w:val="clear" w:color="auto" w:fill="auto"/>
            <w:tcMar>
              <w:left w:w="103" w:type="dxa"/>
            </w:tcMar>
          </w:tcPr>
          <w:p w:rsidR="00AA3BAD" w:rsidRPr="00AD200A" w:rsidRDefault="00FB0D23" w:rsidP="00AD200A">
            <w:pPr>
              <w:spacing w:line="240" w:lineRule="auto"/>
              <w:rPr>
                <w:rFonts w:eastAsia="Times New Roman" w:cs="Times New Roman"/>
                <w:lang w:eastAsia="hr-HR"/>
              </w:rPr>
            </w:pPr>
            <w:r>
              <w:rPr>
                <w:rFonts w:cs="Calibri"/>
              </w:rPr>
              <w:t xml:space="preserve">Course Description: </w:t>
            </w:r>
            <w:r w:rsidR="00AD200A" w:rsidRPr="00C70DBA">
              <w:t xml:space="preserve"> I</w:t>
            </w:r>
            <w:r w:rsidR="00AD200A" w:rsidRPr="00C70DBA">
              <w:rPr>
                <w:rStyle w:val="tlid-translation"/>
              </w:rPr>
              <w:t>nterest in Polish culture and tradition resulted in numerous translations of Polish literature in Croatia. Students gain insight into this aspect of cultural exchange. In the second part, they are trying to translate Polish literary texts by analyzing and comparing with the existing translations, solving the standard and specific translation problems.</w:t>
            </w:r>
          </w:p>
        </w:tc>
      </w:tr>
      <w:tr w:rsidR="00AA3BAD">
        <w:tc>
          <w:tcPr>
            <w:tcW w:w="9397" w:type="dxa"/>
            <w:gridSpan w:val="3"/>
            <w:shd w:val="clear" w:color="auto" w:fill="auto"/>
            <w:tcMar>
              <w:left w:w="103" w:type="dxa"/>
            </w:tcMar>
          </w:tcPr>
          <w:p w:rsidR="00AA3BAD" w:rsidRDefault="00FB0D23" w:rsidP="00AD200A">
            <w:pPr>
              <w:spacing w:after="0" w:line="240" w:lineRule="auto"/>
            </w:pPr>
            <w:r>
              <w:rPr>
                <w:rFonts w:cs="Calibri"/>
              </w:rPr>
              <w:t>Semester</w:t>
            </w:r>
            <w:r>
              <w:rPr>
                <w:rStyle w:val="FootnoteAnchor"/>
                <w:rFonts w:cs="Calibri"/>
              </w:rPr>
              <w:footnoteReference w:id="2"/>
            </w:r>
            <w:r>
              <w:rPr>
                <w:rFonts w:cs="Calibri"/>
              </w:rPr>
              <w:t>:</w:t>
            </w:r>
            <w:r w:rsidR="00AD200A">
              <w:rPr>
                <w:rFonts w:cs="Calibri"/>
                <w:color w:val="FF0000"/>
              </w:rPr>
              <w:t xml:space="preserve"> W</w:t>
            </w:r>
            <w:r>
              <w:rPr>
                <w:rFonts w:cs="Calibri"/>
                <w:color w:val="FF0000"/>
              </w:rPr>
              <w:t>inter semester</w:t>
            </w:r>
          </w:p>
        </w:tc>
      </w:tr>
      <w:tr w:rsidR="00AA3BAD" w:rsidRPr="00AD200A">
        <w:tc>
          <w:tcPr>
            <w:tcW w:w="9397" w:type="dxa"/>
            <w:gridSpan w:val="3"/>
            <w:shd w:val="clear" w:color="auto" w:fill="auto"/>
            <w:tcMar>
              <w:left w:w="103" w:type="dxa"/>
            </w:tcMar>
          </w:tcPr>
          <w:p w:rsidR="00AA3BAD" w:rsidRPr="00AD200A" w:rsidRDefault="00FB0D23" w:rsidP="00AD200A">
            <w:pPr>
              <w:spacing w:after="0" w:line="240" w:lineRule="auto"/>
            </w:pPr>
            <w:r w:rsidRPr="00AD200A">
              <w:rPr>
                <w:rFonts w:cs="Calibri"/>
              </w:rPr>
              <w:t xml:space="preserve">Lecturer(s)/Teacher(s): </w:t>
            </w:r>
            <w:r w:rsidR="00AD200A" w:rsidRPr="00C70DBA">
              <w:rPr>
                <w:rFonts w:cs="Calibri"/>
              </w:rPr>
              <w:t xml:space="preserve"> prof. Dalibor Blažina, </w:t>
            </w:r>
            <w:r w:rsidR="00AD200A" w:rsidRPr="00C70DBA">
              <w:rPr>
                <w:lang w:val="en-GB"/>
              </w:rPr>
              <w:t xml:space="preserve"> PhD, Full Professor; </w:t>
            </w:r>
            <w:r w:rsidR="00AD200A" w:rsidRPr="00C70DBA">
              <w:t xml:space="preserve"> </w:t>
            </w:r>
          </w:p>
        </w:tc>
      </w:tr>
      <w:tr w:rsidR="00AA3BAD">
        <w:tc>
          <w:tcPr>
            <w:tcW w:w="9397" w:type="dxa"/>
            <w:gridSpan w:val="3"/>
            <w:shd w:val="clear" w:color="auto" w:fill="auto"/>
            <w:tcMar>
              <w:left w:w="103" w:type="dxa"/>
            </w:tcMar>
          </w:tcPr>
          <w:p w:rsidR="00AA3BAD" w:rsidRDefault="00FB0D23" w:rsidP="00AD200A">
            <w:pPr>
              <w:spacing w:after="0" w:line="240" w:lineRule="auto"/>
            </w:pPr>
            <w:r>
              <w:rPr>
                <w:rFonts w:cs="Calibri"/>
              </w:rPr>
              <w:t>Teaching Language (regular)</w:t>
            </w:r>
            <w:r>
              <w:rPr>
                <w:rStyle w:val="FootnoteAnchor"/>
                <w:rFonts w:cs="Calibri"/>
              </w:rPr>
              <w:footnoteReference w:id="3"/>
            </w:r>
            <w:r w:rsidR="00AD200A">
              <w:rPr>
                <w:rFonts w:cs="Calibri"/>
              </w:rPr>
              <w:t>: Polish,</w:t>
            </w:r>
            <w:r>
              <w:rPr>
                <w:rFonts w:cs="Calibri"/>
              </w:rPr>
              <w:t xml:space="preserve"> Croatian</w:t>
            </w:r>
          </w:p>
        </w:tc>
      </w:tr>
      <w:tr w:rsidR="00AA3BAD">
        <w:tc>
          <w:tcPr>
            <w:tcW w:w="9397" w:type="dxa"/>
            <w:gridSpan w:val="3"/>
            <w:shd w:val="clear" w:color="auto" w:fill="auto"/>
            <w:tcMar>
              <w:left w:w="103" w:type="dxa"/>
            </w:tcMar>
          </w:tcPr>
          <w:p w:rsidR="00AA3BAD" w:rsidRPr="00AD200A" w:rsidRDefault="00FB0D23" w:rsidP="00AD200A">
            <w:pPr>
              <w:spacing w:line="240" w:lineRule="auto"/>
              <w:rPr>
                <w:rFonts w:cs="Calibri"/>
              </w:rPr>
            </w:pPr>
            <w:r>
              <w:rPr>
                <w:rFonts w:cs="Calibri"/>
              </w:rPr>
              <w:t>Teaching Methods (regular):</w:t>
            </w:r>
            <w:r>
              <w:rPr>
                <w:rStyle w:val="FootnoteAnchor"/>
                <w:rFonts w:cs="Calibri"/>
              </w:rPr>
              <w:footnoteReference w:id="4"/>
            </w:r>
            <w:r>
              <w:rPr>
                <w:rFonts w:cs="Calibri"/>
              </w:rPr>
              <w:t xml:space="preserve"> </w:t>
            </w:r>
            <w:r w:rsidR="00AD200A" w:rsidRPr="00C70DBA">
              <w:rPr>
                <w:rFonts w:cs="Calibri"/>
              </w:rPr>
              <w:t xml:space="preserve"> teaching through lectures/seminars; Presentations; Classroom discussion; E-Learning</w:t>
            </w:r>
          </w:p>
        </w:tc>
      </w:tr>
      <w:tr w:rsidR="00AA3BAD">
        <w:tc>
          <w:tcPr>
            <w:tcW w:w="3132" w:type="dxa"/>
            <w:shd w:val="clear" w:color="auto" w:fill="auto"/>
            <w:tcMar>
              <w:left w:w="103" w:type="dxa"/>
            </w:tcMar>
          </w:tcPr>
          <w:p w:rsidR="00AA3BAD" w:rsidRDefault="00FB0D23" w:rsidP="00AD200A">
            <w:pPr>
              <w:spacing w:after="0" w:line="240" w:lineRule="auto"/>
              <w:rPr>
                <w:rFonts w:ascii="Calibri" w:hAnsi="Calibri" w:cs="Calibri"/>
              </w:rPr>
            </w:pPr>
            <w:r>
              <w:rPr>
                <w:rFonts w:cs="Calibri"/>
              </w:rPr>
              <w:t>Teaching:</w:t>
            </w:r>
          </w:p>
        </w:tc>
        <w:tc>
          <w:tcPr>
            <w:tcW w:w="3132" w:type="dxa"/>
            <w:shd w:val="clear" w:color="auto" w:fill="auto"/>
            <w:tcMar>
              <w:left w:w="103" w:type="dxa"/>
            </w:tcMar>
          </w:tcPr>
          <w:p w:rsidR="00AA3BAD" w:rsidRDefault="00FB0D23" w:rsidP="00AD200A">
            <w:pPr>
              <w:spacing w:after="0" w:line="240" w:lineRule="auto"/>
              <w:rPr>
                <w:rFonts w:ascii="Calibri" w:hAnsi="Calibri" w:cs="Calibri"/>
              </w:rPr>
            </w:pPr>
            <w:r>
              <w:rPr>
                <w:rFonts w:cs="Calibri"/>
              </w:rPr>
              <w:t>Weekly (hours)</w:t>
            </w:r>
          </w:p>
        </w:tc>
        <w:tc>
          <w:tcPr>
            <w:tcW w:w="3133" w:type="dxa"/>
            <w:shd w:val="clear" w:color="auto" w:fill="auto"/>
            <w:tcMar>
              <w:left w:w="103" w:type="dxa"/>
            </w:tcMar>
          </w:tcPr>
          <w:p w:rsidR="00AA3BAD" w:rsidRDefault="00FB0D23" w:rsidP="00AD200A">
            <w:pPr>
              <w:spacing w:after="0" w:line="240" w:lineRule="auto"/>
              <w:rPr>
                <w:rFonts w:ascii="Calibri" w:hAnsi="Calibri" w:cs="Calibri"/>
              </w:rPr>
            </w:pPr>
            <w:r>
              <w:rPr>
                <w:rFonts w:cs="Calibri"/>
              </w:rPr>
              <w:t>Semester (hours)</w:t>
            </w:r>
          </w:p>
          <w:p w:rsidR="00AA3BAD" w:rsidRDefault="00AA3BAD" w:rsidP="00AD200A">
            <w:pPr>
              <w:spacing w:after="0" w:line="240" w:lineRule="auto"/>
              <w:rPr>
                <w:rFonts w:ascii="Calibri" w:hAnsi="Calibri" w:cs="Calibri"/>
              </w:rPr>
            </w:pPr>
          </w:p>
        </w:tc>
      </w:tr>
      <w:tr w:rsidR="00AA3BAD">
        <w:tc>
          <w:tcPr>
            <w:tcW w:w="3132" w:type="dxa"/>
            <w:shd w:val="clear" w:color="auto" w:fill="auto"/>
            <w:tcMar>
              <w:left w:w="103" w:type="dxa"/>
            </w:tcMar>
          </w:tcPr>
          <w:p w:rsidR="00AA3BAD" w:rsidRDefault="00FB0D23" w:rsidP="00AD200A">
            <w:pPr>
              <w:spacing w:after="0" w:line="240" w:lineRule="auto"/>
              <w:rPr>
                <w:rFonts w:ascii="Calibri" w:hAnsi="Calibri" w:cs="Calibri"/>
              </w:rPr>
            </w:pPr>
            <w:r>
              <w:rPr>
                <w:rFonts w:cs="Calibri"/>
              </w:rPr>
              <w:t>Lectures:</w:t>
            </w:r>
          </w:p>
        </w:tc>
        <w:tc>
          <w:tcPr>
            <w:tcW w:w="3132" w:type="dxa"/>
            <w:shd w:val="clear" w:color="auto" w:fill="auto"/>
            <w:tcMar>
              <w:left w:w="103" w:type="dxa"/>
            </w:tcMar>
          </w:tcPr>
          <w:p w:rsidR="00AA3BAD" w:rsidRDefault="00AD200A" w:rsidP="00AD200A">
            <w:pPr>
              <w:spacing w:after="0" w:line="240" w:lineRule="auto"/>
              <w:rPr>
                <w:rFonts w:ascii="Calibri" w:hAnsi="Calibri" w:cs="Calibri"/>
              </w:rPr>
            </w:pPr>
            <w:r>
              <w:rPr>
                <w:rFonts w:cs="Calibri"/>
              </w:rPr>
              <w:t>1</w:t>
            </w:r>
            <w:r w:rsidR="00FB0D23">
              <w:rPr>
                <w:rFonts w:cs="Calibri"/>
              </w:rPr>
              <w:t xml:space="preserve"> hours</w:t>
            </w:r>
          </w:p>
        </w:tc>
        <w:tc>
          <w:tcPr>
            <w:tcW w:w="3133" w:type="dxa"/>
            <w:shd w:val="clear" w:color="auto" w:fill="auto"/>
            <w:tcMar>
              <w:left w:w="103" w:type="dxa"/>
            </w:tcMar>
          </w:tcPr>
          <w:p w:rsidR="00AA3BAD" w:rsidRDefault="00AD200A" w:rsidP="00AD200A">
            <w:pPr>
              <w:spacing w:after="0" w:line="240" w:lineRule="auto"/>
              <w:rPr>
                <w:rFonts w:ascii="Calibri" w:hAnsi="Calibri" w:cs="Calibri"/>
              </w:rPr>
            </w:pPr>
            <w:r>
              <w:rPr>
                <w:rFonts w:cs="Calibri"/>
              </w:rPr>
              <w:t>15</w:t>
            </w:r>
            <w:r w:rsidR="00FB0D23">
              <w:rPr>
                <w:rFonts w:cs="Calibri"/>
              </w:rPr>
              <w:t xml:space="preserve"> hours</w:t>
            </w:r>
          </w:p>
        </w:tc>
      </w:tr>
      <w:tr w:rsidR="00AA3BAD">
        <w:tc>
          <w:tcPr>
            <w:tcW w:w="3132" w:type="dxa"/>
            <w:shd w:val="clear" w:color="auto" w:fill="auto"/>
            <w:tcMar>
              <w:left w:w="103" w:type="dxa"/>
            </w:tcMar>
          </w:tcPr>
          <w:p w:rsidR="00AA3BAD" w:rsidRDefault="00FB0D23" w:rsidP="00AD200A">
            <w:pPr>
              <w:spacing w:after="0" w:line="240" w:lineRule="auto"/>
              <w:rPr>
                <w:rFonts w:ascii="Calibri" w:hAnsi="Calibri" w:cs="Calibri"/>
              </w:rPr>
            </w:pPr>
            <w:r>
              <w:rPr>
                <w:rFonts w:cs="Calibri"/>
              </w:rPr>
              <w:t>Exercises:</w:t>
            </w:r>
          </w:p>
        </w:tc>
        <w:tc>
          <w:tcPr>
            <w:tcW w:w="3132" w:type="dxa"/>
            <w:shd w:val="clear" w:color="auto" w:fill="auto"/>
            <w:tcMar>
              <w:left w:w="103" w:type="dxa"/>
            </w:tcMar>
          </w:tcPr>
          <w:p w:rsidR="00AA3BAD" w:rsidRDefault="00AD200A" w:rsidP="00AD200A">
            <w:pPr>
              <w:spacing w:after="0" w:line="240" w:lineRule="auto"/>
              <w:rPr>
                <w:rFonts w:ascii="Calibri" w:hAnsi="Calibri" w:cs="Calibri"/>
              </w:rPr>
            </w:pPr>
            <w:r>
              <w:rPr>
                <w:rFonts w:cs="Calibri"/>
              </w:rPr>
              <w:t>0</w:t>
            </w:r>
            <w:r w:rsidR="00FB0D23">
              <w:rPr>
                <w:rFonts w:cs="Calibri"/>
              </w:rPr>
              <w:t xml:space="preserve"> hours</w:t>
            </w:r>
          </w:p>
        </w:tc>
        <w:tc>
          <w:tcPr>
            <w:tcW w:w="3133" w:type="dxa"/>
            <w:shd w:val="clear" w:color="auto" w:fill="auto"/>
            <w:tcMar>
              <w:left w:w="103" w:type="dxa"/>
            </w:tcMar>
          </w:tcPr>
          <w:p w:rsidR="00AA3BAD" w:rsidRDefault="00FB0D23" w:rsidP="00AD200A">
            <w:pPr>
              <w:spacing w:after="0" w:line="240" w:lineRule="auto"/>
              <w:rPr>
                <w:rFonts w:ascii="Calibri" w:hAnsi="Calibri" w:cs="Calibri"/>
              </w:rPr>
            </w:pPr>
            <w:r>
              <w:rPr>
                <w:rFonts w:cs="Calibri"/>
              </w:rPr>
              <w:t>0 hours</w:t>
            </w:r>
          </w:p>
        </w:tc>
      </w:tr>
      <w:tr w:rsidR="00AA3BAD">
        <w:tc>
          <w:tcPr>
            <w:tcW w:w="3132" w:type="dxa"/>
            <w:shd w:val="clear" w:color="auto" w:fill="auto"/>
            <w:tcMar>
              <w:left w:w="103" w:type="dxa"/>
            </w:tcMar>
          </w:tcPr>
          <w:p w:rsidR="00AA3BAD" w:rsidRDefault="00FB0D23" w:rsidP="00AD200A">
            <w:pPr>
              <w:spacing w:after="0" w:line="240" w:lineRule="auto"/>
              <w:rPr>
                <w:rFonts w:ascii="Calibri" w:hAnsi="Calibri" w:cs="Calibri"/>
              </w:rPr>
            </w:pPr>
            <w:r>
              <w:rPr>
                <w:rFonts w:cs="Calibri"/>
              </w:rPr>
              <w:t>Seminars:</w:t>
            </w:r>
          </w:p>
        </w:tc>
        <w:tc>
          <w:tcPr>
            <w:tcW w:w="3132" w:type="dxa"/>
            <w:shd w:val="clear" w:color="auto" w:fill="auto"/>
            <w:tcMar>
              <w:left w:w="103" w:type="dxa"/>
            </w:tcMar>
          </w:tcPr>
          <w:p w:rsidR="00AA3BAD" w:rsidRDefault="00AD200A" w:rsidP="00AD200A">
            <w:pPr>
              <w:spacing w:after="0" w:line="240" w:lineRule="auto"/>
              <w:rPr>
                <w:rFonts w:ascii="Calibri" w:hAnsi="Calibri" w:cs="Calibri"/>
              </w:rPr>
            </w:pPr>
            <w:r>
              <w:rPr>
                <w:rFonts w:cs="Calibri"/>
              </w:rPr>
              <w:t>1</w:t>
            </w:r>
            <w:r w:rsidR="00FB0D23">
              <w:rPr>
                <w:rFonts w:cs="Calibri"/>
              </w:rPr>
              <w:t xml:space="preserve"> hours</w:t>
            </w:r>
          </w:p>
        </w:tc>
        <w:tc>
          <w:tcPr>
            <w:tcW w:w="3133" w:type="dxa"/>
            <w:shd w:val="clear" w:color="auto" w:fill="auto"/>
            <w:tcMar>
              <w:left w:w="103" w:type="dxa"/>
            </w:tcMar>
          </w:tcPr>
          <w:p w:rsidR="00AA3BAD" w:rsidRDefault="00AD200A" w:rsidP="00AD200A">
            <w:pPr>
              <w:spacing w:after="0" w:line="240" w:lineRule="auto"/>
              <w:rPr>
                <w:rFonts w:ascii="Calibri" w:hAnsi="Calibri" w:cs="Calibri"/>
              </w:rPr>
            </w:pPr>
            <w:r>
              <w:rPr>
                <w:rFonts w:cs="Calibri"/>
              </w:rPr>
              <w:t>15</w:t>
            </w:r>
            <w:r w:rsidR="00FB0D23">
              <w:rPr>
                <w:rFonts w:cs="Calibri"/>
              </w:rPr>
              <w:t xml:space="preserve"> hours</w:t>
            </w:r>
          </w:p>
        </w:tc>
      </w:tr>
      <w:tr w:rsidR="00AA3BAD">
        <w:tc>
          <w:tcPr>
            <w:tcW w:w="9397" w:type="dxa"/>
            <w:gridSpan w:val="3"/>
            <w:shd w:val="clear" w:color="auto" w:fill="auto"/>
            <w:tcMar>
              <w:left w:w="103" w:type="dxa"/>
            </w:tcMar>
          </w:tcPr>
          <w:p w:rsidR="00AA3BAD" w:rsidRDefault="00FB0D23" w:rsidP="00AD200A">
            <w:pPr>
              <w:spacing w:after="0" w:line="240" w:lineRule="auto"/>
            </w:pPr>
            <w:r>
              <w:rPr>
                <w:rFonts w:cs="Calibri"/>
              </w:rPr>
              <w:t>ECTS: 6 ECTS</w:t>
            </w:r>
          </w:p>
        </w:tc>
      </w:tr>
      <w:tr w:rsidR="00AA3BAD">
        <w:tc>
          <w:tcPr>
            <w:tcW w:w="9397" w:type="dxa"/>
            <w:gridSpan w:val="3"/>
            <w:shd w:val="clear" w:color="auto" w:fill="auto"/>
            <w:tcMar>
              <w:left w:w="103" w:type="dxa"/>
            </w:tcMar>
          </w:tcPr>
          <w:p w:rsidR="00AA3BAD" w:rsidRDefault="00FB0D23" w:rsidP="00AD200A">
            <w:pPr>
              <w:spacing w:after="0" w:line="240" w:lineRule="auto"/>
            </w:pPr>
            <w:r>
              <w:rPr>
                <w:rFonts w:cs="Calibri"/>
              </w:rPr>
              <w:t>Teaching language and level</w:t>
            </w:r>
            <w:r>
              <w:rPr>
                <w:rStyle w:val="FootnoteAnchor"/>
                <w:rFonts w:cs="Calibri"/>
              </w:rPr>
              <w:footnoteReference w:id="5"/>
            </w:r>
            <w:r>
              <w:rPr>
                <w:rFonts w:cs="Calibri"/>
              </w:rPr>
              <w:t xml:space="preserve">  for guest (exchange) students: </w:t>
            </w:r>
            <w:r w:rsidR="00AD200A" w:rsidRPr="00C70DBA">
              <w:rPr>
                <w:rFonts w:cs="Calibri"/>
              </w:rPr>
              <w:t xml:space="preserve"> Croatian B2, Polish B2</w:t>
            </w:r>
          </w:p>
        </w:tc>
      </w:tr>
      <w:tr w:rsidR="00AA3BAD">
        <w:tc>
          <w:tcPr>
            <w:tcW w:w="9397" w:type="dxa"/>
            <w:gridSpan w:val="3"/>
            <w:shd w:val="clear" w:color="auto" w:fill="auto"/>
            <w:tcMar>
              <w:left w:w="103" w:type="dxa"/>
            </w:tcMar>
          </w:tcPr>
          <w:p w:rsidR="00AA3BAD" w:rsidRDefault="00FB0D23" w:rsidP="00AD200A">
            <w:pPr>
              <w:spacing w:after="0" w:line="240" w:lineRule="auto"/>
            </w:pPr>
            <w:r>
              <w:rPr>
                <w:rFonts w:cs="Calibri"/>
              </w:rPr>
              <w:t>Teaching Methods</w:t>
            </w:r>
            <w:r>
              <w:rPr>
                <w:rStyle w:val="FootnoteAnchor"/>
                <w:rFonts w:cs="Calibri"/>
              </w:rPr>
              <w:footnoteReference w:id="6"/>
            </w:r>
            <w:r>
              <w:rPr>
                <w:rFonts w:cs="Calibri"/>
              </w:rPr>
              <w:t xml:space="preserve"> for guest (exchange) students: L1</w:t>
            </w:r>
          </w:p>
        </w:tc>
      </w:tr>
      <w:tr w:rsidR="00AA3BAD">
        <w:tc>
          <w:tcPr>
            <w:tcW w:w="9397" w:type="dxa"/>
            <w:gridSpan w:val="3"/>
            <w:shd w:val="clear" w:color="auto" w:fill="auto"/>
            <w:tcMar>
              <w:left w:w="103" w:type="dxa"/>
            </w:tcMar>
          </w:tcPr>
          <w:p w:rsidR="00AA3BAD" w:rsidRPr="00AD200A" w:rsidRDefault="00FB0D23" w:rsidP="00AD200A">
            <w:pPr>
              <w:spacing w:line="240" w:lineRule="auto"/>
              <w:rPr>
                <w:rFonts w:cs="Calibri"/>
              </w:rPr>
            </w:pPr>
            <w:r>
              <w:rPr>
                <w:rFonts w:cs="Calibri"/>
              </w:rPr>
              <w:t>Evaluation Methods</w:t>
            </w:r>
            <w:r>
              <w:rPr>
                <w:rStyle w:val="FootnoteAnchor"/>
                <w:rFonts w:cs="Calibri"/>
              </w:rPr>
              <w:footnoteReference w:id="7"/>
            </w:r>
            <w:r>
              <w:rPr>
                <w:rFonts w:cs="Calibri"/>
              </w:rPr>
              <w:t xml:space="preserve"> and Grading</w:t>
            </w:r>
            <w:r>
              <w:rPr>
                <w:rStyle w:val="FootnoteAnchor"/>
                <w:rFonts w:cs="Calibri"/>
              </w:rPr>
              <w:footnoteReference w:id="8"/>
            </w:r>
            <w:r>
              <w:rPr>
                <w:rFonts w:cs="Calibri"/>
              </w:rPr>
              <w:t xml:space="preserve">: </w:t>
            </w:r>
            <w:r w:rsidR="00AD200A" w:rsidRPr="00C70DBA">
              <w:rPr>
                <w:rFonts w:cs="Calibri"/>
              </w:rPr>
              <w:t xml:space="preserve"> Class attendance, Practical Work; Written exam; Standard</w:t>
            </w:r>
          </w:p>
        </w:tc>
      </w:tr>
      <w:tr w:rsidR="00AA3BAD">
        <w:tc>
          <w:tcPr>
            <w:tcW w:w="9397" w:type="dxa"/>
            <w:gridSpan w:val="3"/>
            <w:shd w:val="clear" w:color="auto" w:fill="auto"/>
            <w:tcMar>
              <w:left w:w="103" w:type="dxa"/>
            </w:tcMar>
          </w:tcPr>
          <w:p w:rsidR="00A07958" w:rsidRDefault="00FB0D23" w:rsidP="00AD200A">
            <w:pPr>
              <w:spacing w:after="0" w:line="240" w:lineRule="auto"/>
              <w:rPr>
                <w:rFonts w:cs="Calibri"/>
              </w:rPr>
            </w:pPr>
            <w:r>
              <w:rPr>
                <w:rFonts w:cs="Calibri"/>
              </w:rPr>
              <w:t>Learning Outcomes:</w:t>
            </w:r>
            <w:r w:rsidR="00AD200A">
              <w:rPr>
                <w:rFonts w:cs="Calibri"/>
              </w:rPr>
              <w:t xml:space="preserve"> </w:t>
            </w:r>
          </w:p>
          <w:p w:rsidR="00AA3BAD" w:rsidRPr="00AD200A" w:rsidRDefault="00AD200A" w:rsidP="00AD200A">
            <w:pPr>
              <w:spacing w:after="0" w:line="240" w:lineRule="auto"/>
            </w:pPr>
            <w:bookmarkStart w:id="0" w:name="_GoBack"/>
            <w:bookmarkEnd w:id="0"/>
            <w:r w:rsidRPr="00C70DBA">
              <w:rPr>
                <w:rStyle w:val="tlid-translation"/>
              </w:rPr>
              <w:t>to participate in discussions on different topics in the Polish language; to present the work of the most important Croatian and Polish translators; to learn how to recognize and solve the standard and specific problems of literary translation from Polish to Croatian, based on insights into the existing translations</w:t>
            </w:r>
          </w:p>
        </w:tc>
      </w:tr>
      <w:tr w:rsidR="00AA3BAD" w:rsidRPr="00AD200A" w:rsidTr="00A07958">
        <w:trPr>
          <w:trHeight w:val="2241"/>
        </w:trPr>
        <w:tc>
          <w:tcPr>
            <w:tcW w:w="9397" w:type="dxa"/>
            <w:gridSpan w:val="3"/>
            <w:shd w:val="clear" w:color="auto" w:fill="auto"/>
            <w:tcMar>
              <w:left w:w="103" w:type="dxa"/>
            </w:tcMar>
          </w:tcPr>
          <w:p w:rsidR="00A07958" w:rsidRDefault="00FB0D23" w:rsidP="00A07958">
            <w:pPr>
              <w:spacing w:after="0" w:line="240" w:lineRule="auto"/>
              <w:rPr>
                <w:rFonts w:eastAsia="Times New Roman" w:cs="Times New Roman"/>
                <w:lang w:val="hr-HR" w:eastAsia="hr-HR"/>
              </w:rPr>
            </w:pPr>
            <w:r w:rsidRPr="00AD200A">
              <w:rPr>
                <w:rFonts w:cs="Calibri"/>
              </w:rPr>
              <w:lastRenderedPageBreak/>
              <w:t>Literature:</w:t>
            </w:r>
            <w:r w:rsidR="00AD200A" w:rsidRPr="00AD200A">
              <w:rPr>
                <w:rFonts w:cs="Calibri"/>
              </w:rPr>
              <w:t xml:space="preserve"> </w:t>
            </w:r>
            <w:r w:rsidR="00AD200A" w:rsidRPr="00C70DBA">
              <w:rPr>
                <w:rFonts w:eastAsia="Times New Roman" w:cs="Times New Roman"/>
                <w:lang w:val="hr-HR" w:eastAsia="hr-HR"/>
              </w:rPr>
              <w:t xml:space="preserve"> </w:t>
            </w:r>
          </w:p>
          <w:p w:rsidR="00A07958" w:rsidRDefault="00AD200A" w:rsidP="00A07958">
            <w:pPr>
              <w:spacing w:after="0" w:line="240" w:lineRule="auto"/>
              <w:rPr>
                <w:rFonts w:eastAsia="Times New Roman" w:cs="Times New Roman"/>
                <w:lang w:val="hr-HR" w:eastAsia="hr-HR"/>
              </w:rPr>
            </w:pPr>
            <w:r w:rsidRPr="00C70DBA">
              <w:rPr>
                <w:rFonts w:eastAsia="Times New Roman" w:cs="Times New Roman"/>
                <w:lang w:val="hr-HR" w:eastAsia="hr-HR"/>
              </w:rPr>
              <w:t xml:space="preserve">Hrvatsko-poljske veze XX. stoljeća (1996) monografija (knjiga), Hrvatsko-poljsko društvo u Zagrebu 1996.; </w:t>
            </w:r>
          </w:p>
          <w:p w:rsidR="00A07958" w:rsidRDefault="00AD200A" w:rsidP="00A07958">
            <w:pPr>
              <w:spacing w:after="0" w:line="240" w:lineRule="auto"/>
              <w:rPr>
                <w:rFonts w:eastAsia="Times New Roman" w:cs="Times New Roman"/>
                <w:lang w:val="hr-HR" w:eastAsia="hr-HR"/>
              </w:rPr>
            </w:pPr>
            <w:r w:rsidRPr="00FC1940">
              <w:rPr>
                <w:rFonts w:eastAsia="Times New Roman" w:cs="Times New Roman"/>
                <w:lang w:val="hr-HR" w:eastAsia="hr-HR"/>
              </w:rPr>
              <w:t xml:space="preserve">Đurđica </w:t>
            </w:r>
            <w:proofErr w:type="spellStart"/>
            <w:r w:rsidRPr="00FC1940">
              <w:rPr>
                <w:rFonts w:eastAsia="Times New Roman" w:cs="Times New Roman"/>
                <w:lang w:val="hr-HR" w:eastAsia="hr-HR"/>
              </w:rPr>
              <w:t>Čilić-Škeljo</w:t>
            </w:r>
            <w:proofErr w:type="spellEnd"/>
            <w:r w:rsidRPr="00FC1940">
              <w:rPr>
                <w:rFonts w:eastAsia="Times New Roman" w:cs="Times New Roman"/>
                <w:lang w:val="hr-HR" w:eastAsia="hr-HR"/>
              </w:rPr>
              <w:t>, Bibliografija prijevoda s poljskoga 1990 – 2005, Književna revija 1, 2006.</w:t>
            </w:r>
            <w:r w:rsidRPr="00C70DBA">
              <w:rPr>
                <w:rFonts w:eastAsia="Times New Roman" w:cs="Times New Roman"/>
                <w:lang w:val="hr-HR" w:eastAsia="hr-HR"/>
              </w:rPr>
              <w:t>;</w:t>
            </w:r>
          </w:p>
          <w:p w:rsidR="00A07958" w:rsidRDefault="00AD200A" w:rsidP="00A07958">
            <w:pPr>
              <w:spacing w:after="0" w:line="240" w:lineRule="auto"/>
              <w:rPr>
                <w:rFonts w:eastAsia="Times New Roman" w:cs="Times New Roman"/>
                <w:lang w:val="hr-HR" w:eastAsia="hr-HR"/>
              </w:rPr>
            </w:pPr>
            <w:r w:rsidRPr="00FC1940">
              <w:rPr>
                <w:rFonts w:eastAsia="Times New Roman" w:cs="Times New Roman"/>
                <w:lang w:val="hr-HR" w:eastAsia="hr-HR"/>
              </w:rPr>
              <w:t xml:space="preserve">Đurđica </w:t>
            </w:r>
            <w:proofErr w:type="spellStart"/>
            <w:r w:rsidRPr="00FC1940">
              <w:rPr>
                <w:rFonts w:eastAsia="Times New Roman" w:cs="Times New Roman"/>
                <w:lang w:val="hr-HR" w:eastAsia="hr-HR"/>
              </w:rPr>
              <w:t>Čilić</w:t>
            </w:r>
            <w:proofErr w:type="spellEnd"/>
            <w:r w:rsidRPr="00FC1940">
              <w:rPr>
                <w:rFonts w:eastAsia="Times New Roman" w:cs="Times New Roman"/>
                <w:lang w:val="hr-HR" w:eastAsia="hr-HR"/>
              </w:rPr>
              <w:t xml:space="preserve"> </w:t>
            </w:r>
            <w:proofErr w:type="spellStart"/>
            <w:r w:rsidRPr="00FC1940">
              <w:rPr>
                <w:rFonts w:eastAsia="Times New Roman" w:cs="Times New Roman"/>
                <w:lang w:val="hr-HR" w:eastAsia="hr-HR"/>
              </w:rPr>
              <w:t>Škeljo</w:t>
            </w:r>
            <w:proofErr w:type="spellEnd"/>
            <w:r w:rsidRPr="00FC1940">
              <w:rPr>
                <w:rFonts w:eastAsia="Times New Roman" w:cs="Times New Roman"/>
                <w:lang w:val="hr-HR" w:eastAsia="hr-HR"/>
              </w:rPr>
              <w:t xml:space="preserve">, Ivana Vidović </w:t>
            </w:r>
            <w:proofErr w:type="spellStart"/>
            <w:r w:rsidRPr="00FC1940">
              <w:rPr>
                <w:rFonts w:eastAsia="Times New Roman" w:cs="Times New Roman"/>
                <w:lang w:val="hr-HR" w:eastAsia="hr-HR"/>
              </w:rPr>
              <w:t>Bolt</w:t>
            </w:r>
            <w:proofErr w:type="spellEnd"/>
            <w:r w:rsidRPr="00FC1940">
              <w:rPr>
                <w:rFonts w:eastAsia="Times New Roman" w:cs="Times New Roman"/>
                <w:lang w:val="hr-HR" w:eastAsia="hr-HR"/>
              </w:rPr>
              <w:t xml:space="preserve">, Literatura </w:t>
            </w:r>
            <w:proofErr w:type="spellStart"/>
            <w:r w:rsidRPr="00FC1940">
              <w:rPr>
                <w:rFonts w:eastAsia="Times New Roman" w:cs="Times New Roman"/>
                <w:lang w:val="hr-HR" w:eastAsia="hr-HR"/>
              </w:rPr>
              <w:t>polska</w:t>
            </w:r>
            <w:proofErr w:type="spellEnd"/>
            <w:r w:rsidRPr="00FC1940">
              <w:rPr>
                <w:rFonts w:eastAsia="Times New Roman" w:cs="Times New Roman"/>
                <w:lang w:val="hr-HR" w:eastAsia="hr-HR"/>
              </w:rPr>
              <w:t xml:space="preserve"> w </w:t>
            </w:r>
            <w:proofErr w:type="spellStart"/>
            <w:r w:rsidRPr="00FC1940">
              <w:rPr>
                <w:rFonts w:eastAsia="Times New Roman" w:cs="Times New Roman"/>
                <w:lang w:val="hr-HR" w:eastAsia="hr-HR"/>
              </w:rPr>
              <w:t>polskich</w:t>
            </w:r>
            <w:proofErr w:type="spellEnd"/>
            <w:r w:rsidRPr="00FC1940">
              <w:rPr>
                <w:rFonts w:eastAsia="Times New Roman" w:cs="Times New Roman"/>
                <w:lang w:val="hr-HR" w:eastAsia="hr-HR"/>
              </w:rPr>
              <w:t xml:space="preserve"> </w:t>
            </w:r>
            <w:proofErr w:type="spellStart"/>
            <w:r w:rsidRPr="00FC1940">
              <w:rPr>
                <w:rFonts w:eastAsia="Times New Roman" w:cs="Times New Roman"/>
                <w:lang w:val="hr-HR" w:eastAsia="hr-HR"/>
              </w:rPr>
              <w:t>przekładach</w:t>
            </w:r>
            <w:proofErr w:type="spellEnd"/>
            <w:r w:rsidRPr="00FC1940">
              <w:rPr>
                <w:rFonts w:eastAsia="Times New Roman" w:cs="Times New Roman"/>
                <w:lang w:val="hr-HR" w:eastAsia="hr-HR"/>
              </w:rPr>
              <w:t xml:space="preserve"> od 1990 do 2007 r., u: </w:t>
            </w:r>
            <w:proofErr w:type="spellStart"/>
            <w:r w:rsidRPr="00FC1940">
              <w:rPr>
                <w:rFonts w:eastAsia="Times New Roman" w:cs="Times New Roman"/>
                <w:lang w:val="hr-HR" w:eastAsia="hr-HR"/>
              </w:rPr>
              <w:t>Przekłady</w:t>
            </w:r>
            <w:proofErr w:type="spellEnd"/>
            <w:r w:rsidRPr="00FC1940">
              <w:rPr>
                <w:rFonts w:eastAsia="Times New Roman" w:cs="Times New Roman"/>
                <w:lang w:val="hr-HR" w:eastAsia="hr-HR"/>
              </w:rPr>
              <w:t xml:space="preserve"> </w:t>
            </w:r>
            <w:proofErr w:type="spellStart"/>
            <w:r w:rsidRPr="00FC1940">
              <w:rPr>
                <w:rFonts w:eastAsia="Times New Roman" w:cs="Times New Roman"/>
                <w:lang w:val="hr-HR" w:eastAsia="hr-HR"/>
              </w:rPr>
              <w:t>liter</w:t>
            </w:r>
            <w:r w:rsidRPr="00C70DBA">
              <w:rPr>
                <w:rFonts w:eastAsia="Times New Roman" w:cs="Times New Roman"/>
                <w:lang w:val="hr-HR" w:eastAsia="hr-HR"/>
              </w:rPr>
              <w:t>atur</w:t>
            </w:r>
            <w:proofErr w:type="spellEnd"/>
            <w:r w:rsidRPr="00C70DBA">
              <w:rPr>
                <w:rFonts w:eastAsia="Times New Roman" w:cs="Times New Roman"/>
                <w:lang w:val="hr-HR" w:eastAsia="hr-HR"/>
              </w:rPr>
              <w:t xml:space="preserve"> </w:t>
            </w:r>
            <w:proofErr w:type="spellStart"/>
            <w:r w:rsidRPr="00C70DBA">
              <w:rPr>
                <w:rFonts w:eastAsia="Times New Roman" w:cs="Times New Roman"/>
                <w:lang w:val="hr-HR" w:eastAsia="hr-HR"/>
              </w:rPr>
              <w:t>słowiańskich</w:t>
            </w:r>
            <w:proofErr w:type="spellEnd"/>
            <w:r w:rsidRPr="00C70DBA">
              <w:rPr>
                <w:rFonts w:eastAsia="Times New Roman" w:cs="Times New Roman"/>
                <w:lang w:val="hr-HR" w:eastAsia="hr-HR"/>
              </w:rPr>
              <w:t xml:space="preserve">, t. 1, </w:t>
            </w:r>
            <w:proofErr w:type="spellStart"/>
            <w:r w:rsidRPr="00C70DBA">
              <w:rPr>
                <w:rFonts w:eastAsia="Times New Roman" w:cs="Times New Roman"/>
                <w:lang w:val="hr-HR" w:eastAsia="hr-HR"/>
              </w:rPr>
              <w:t>ur</w:t>
            </w:r>
            <w:proofErr w:type="spellEnd"/>
            <w:r w:rsidRPr="00C70DBA">
              <w:rPr>
                <w:rFonts w:eastAsia="Times New Roman" w:cs="Times New Roman"/>
                <w:lang w:val="hr-HR" w:eastAsia="hr-HR"/>
              </w:rPr>
              <w:t xml:space="preserve">. </w:t>
            </w:r>
            <w:proofErr w:type="spellStart"/>
            <w:r w:rsidRPr="00C70DBA">
              <w:rPr>
                <w:rFonts w:eastAsia="Times New Roman" w:cs="Times New Roman"/>
                <w:lang w:val="hr-HR" w:eastAsia="hr-HR"/>
              </w:rPr>
              <w:t>Boż</w:t>
            </w:r>
            <w:r w:rsidRPr="00FC1940">
              <w:rPr>
                <w:rFonts w:eastAsia="Times New Roman" w:cs="Times New Roman"/>
                <w:lang w:val="hr-HR" w:eastAsia="hr-HR"/>
              </w:rPr>
              <w:t>ena</w:t>
            </w:r>
            <w:proofErr w:type="spellEnd"/>
            <w:r w:rsidRPr="00FC1940">
              <w:rPr>
                <w:rFonts w:eastAsia="Times New Roman" w:cs="Times New Roman"/>
                <w:lang w:val="hr-HR" w:eastAsia="hr-HR"/>
              </w:rPr>
              <w:t xml:space="preserve"> </w:t>
            </w:r>
            <w:proofErr w:type="spellStart"/>
            <w:r w:rsidRPr="00FC1940">
              <w:rPr>
                <w:rFonts w:eastAsia="Times New Roman" w:cs="Times New Roman"/>
                <w:lang w:val="hr-HR" w:eastAsia="hr-HR"/>
              </w:rPr>
              <w:t>Tokarz</w:t>
            </w:r>
            <w:proofErr w:type="spellEnd"/>
            <w:r w:rsidRPr="00FC1940">
              <w:rPr>
                <w:rFonts w:eastAsia="Times New Roman" w:cs="Times New Roman"/>
                <w:lang w:val="hr-HR" w:eastAsia="hr-HR"/>
              </w:rPr>
              <w:t xml:space="preserve">, </w:t>
            </w:r>
            <w:proofErr w:type="spellStart"/>
            <w:r w:rsidRPr="00FC1940">
              <w:rPr>
                <w:rFonts w:eastAsia="Times New Roman" w:cs="Times New Roman"/>
                <w:lang w:val="hr-HR" w:eastAsia="hr-HR"/>
              </w:rPr>
              <w:t>Wydawnictwo</w:t>
            </w:r>
            <w:proofErr w:type="spellEnd"/>
            <w:r w:rsidRPr="00FC1940">
              <w:rPr>
                <w:rFonts w:eastAsia="Times New Roman" w:cs="Times New Roman"/>
                <w:lang w:val="hr-HR" w:eastAsia="hr-HR"/>
              </w:rPr>
              <w:t xml:space="preserve"> </w:t>
            </w:r>
            <w:proofErr w:type="spellStart"/>
            <w:r w:rsidRPr="00FC1940">
              <w:rPr>
                <w:rFonts w:eastAsia="Times New Roman" w:cs="Times New Roman"/>
                <w:lang w:val="hr-HR" w:eastAsia="hr-HR"/>
              </w:rPr>
              <w:t>Uniwersytetu</w:t>
            </w:r>
            <w:proofErr w:type="spellEnd"/>
            <w:r w:rsidRPr="00FC1940">
              <w:rPr>
                <w:rFonts w:eastAsia="Times New Roman" w:cs="Times New Roman"/>
                <w:lang w:val="hr-HR" w:eastAsia="hr-HR"/>
              </w:rPr>
              <w:t xml:space="preserve"> </w:t>
            </w:r>
            <w:proofErr w:type="spellStart"/>
            <w:r w:rsidRPr="00FC1940">
              <w:rPr>
                <w:rFonts w:eastAsia="Times New Roman" w:cs="Times New Roman"/>
                <w:lang w:val="hr-HR" w:eastAsia="hr-HR"/>
              </w:rPr>
              <w:t>Śląskiego</w:t>
            </w:r>
            <w:proofErr w:type="spellEnd"/>
            <w:r w:rsidRPr="00FC1940">
              <w:rPr>
                <w:rFonts w:eastAsia="Times New Roman" w:cs="Times New Roman"/>
                <w:lang w:val="hr-HR" w:eastAsia="hr-HR"/>
              </w:rPr>
              <w:t xml:space="preserve">, </w:t>
            </w:r>
            <w:proofErr w:type="spellStart"/>
            <w:r w:rsidRPr="00FC1940">
              <w:rPr>
                <w:rFonts w:eastAsia="Times New Roman" w:cs="Times New Roman"/>
                <w:lang w:val="hr-HR" w:eastAsia="hr-HR"/>
              </w:rPr>
              <w:t>Katowice</w:t>
            </w:r>
            <w:proofErr w:type="spellEnd"/>
            <w:r w:rsidRPr="00FC1940">
              <w:rPr>
                <w:rFonts w:eastAsia="Times New Roman" w:cs="Times New Roman"/>
                <w:lang w:val="hr-HR" w:eastAsia="hr-HR"/>
              </w:rPr>
              <w:t xml:space="preserve"> 2009.</w:t>
            </w:r>
            <w:r w:rsidRPr="00C70DBA">
              <w:rPr>
                <w:rFonts w:eastAsia="Times New Roman" w:cs="Times New Roman"/>
                <w:lang w:val="hr-HR" w:eastAsia="hr-HR"/>
              </w:rPr>
              <w:t xml:space="preserve">; </w:t>
            </w:r>
          </w:p>
          <w:p w:rsidR="00A07958" w:rsidRDefault="00AD200A" w:rsidP="00A07958">
            <w:pPr>
              <w:spacing w:after="0" w:line="240" w:lineRule="auto"/>
              <w:rPr>
                <w:rFonts w:eastAsia="Times New Roman" w:cs="Times New Roman"/>
                <w:lang w:val="hr-HR" w:eastAsia="hr-HR"/>
              </w:rPr>
            </w:pPr>
            <w:r w:rsidRPr="00FC1940">
              <w:rPr>
                <w:rFonts w:eastAsia="Times New Roman" w:cs="Times New Roman"/>
                <w:lang w:val="hr-HR" w:eastAsia="hr-HR"/>
              </w:rPr>
              <w:t>Ivana Vidović Bolt: Dobre hrvatsko-poljske veze, Tema: časopis za knjigu, 5-6, Zagreb 2004</w:t>
            </w:r>
            <w:r w:rsidRPr="00C70DBA">
              <w:rPr>
                <w:rFonts w:eastAsia="Times New Roman" w:cs="Times New Roman"/>
                <w:lang w:val="hr-HR" w:eastAsia="hr-HR"/>
              </w:rPr>
              <w:t xml:space="preserve">; </w:t>
            </w:r>
          </w:p>
          <w:p w:rsidR="00A07958" w:rsidRDefault="00AD200A" w:rsidP="00A07958">
            <w:pPr>
              <w:spacing w:after="0" w:line="240" w:lineRule="auto"/>
              <w:rPr>
                <w:rFonts w:eastAsia="Times New Roman" w:cs="Times New Roman"/>
                <w:lang w:val="hr-HR" w:eastAsia="hr-HR"/>
              </w:rPr>
            </w:pPr>
            <w:proofErr w:type="spellStart"/>
            <w:r w:rsidRPr="00FC1940">
              <w:rPr>
                <w:rFonts w:eastAsia="Times New Roman" w:cs="Times New Roman"/>
                <w:lang w:val="hr-HR" w:eastAsia="hr-HR"/>
              </w:rPr>
              <w:t>Lech</w:t>
            </w:r>
            <w:proofErr w:type="spellEnd"/>
            <w:r w:rsidRPr="00FC1940">
              <w:rPr>
                <w:rFonts w:eastAsia="Times New Roman" w:cs="Times New Roman"/>
                <w:lang w:val="hr-HR" w:eastAsia="hr-HR"/>
              </w:rPr>
              <w:t xml:space="preserve"> </w:t>
            </w:r>
            <w:proofErr w:type="spellStart"/>
            <w:r w:rsidRPr="00FC1940">
              <w:rPr>
                <w:rFonts w:eastAsia="Times New Roman" w:cs="Times New Roman"/>
                <w:lang w:val="hr-HR" w:eastAsia="hr-HR"/>
              </w:rPr>
              <w:t>Paździerski</w:t>
            </w:r>
            <w:proofErr w:type="spellEnd"/>
            <w:r w:rsidRPr="00FC1940">
              <w:rPr>
                <w:rFonts w:eastAsia="Times New Roman" w:cs="Times New Roman"/>
                <w:lang w:val="hr-HR" w:eastAsia="hr-HR"/>
              </w:rPr>
              <w:t xml:space="preserve">, Julije </w:t>
            </w:r>
            <w:proofErr w:type="spellStart"/>
            <w:r w:rsidRPr="00FC1940">
              <w:rPr>
                <w:rFonts w:eastAsia="Times New Roman" w:cs="Times New Roman"/>
                <w:lang w:val="hr-HR" w:eastAsia="hr-HR"/>
              </w:rPr>
              <w:t>Benešić</w:t>
            </w:r>
            <w:proofErr w:type="spellEnd"/>
            <w:r w:rsidRPr="00FC1940">
              <w:rPr>
                <w:rFonts w:eastAsia="Times New Roman" w:cs="Times New Roman"/>
                <w:lang w:val="hr-HR" w:eastAsia="hr-HR"/>
              </w:rPr>
              <w:t xml:space="preserve"> i Poljaci, Biblioteka Književna smotra, Zagreb, 2004.</w:t>
            </w:r>
            <w:r w:rsidRPr="00C70DBA">
              <w:rPr>
                <w:rFonts w:eastAsia="Times New Roman" w:cs="Times New Roman"/>
                <w:lang w:val="hr-HR" w:eastAsia="hr-HR"/>
              </w:rPr>
              <w:t>;</w:t>
            </w:r>
          </w:p>
          <w:p w:rsidR="00A07958" w:rsidRDefault="00AD200A" w:rsidP="00A07958">
            <w:pPr>
              <w:spacing w:after="0" w:line="240" w:lineRule="auto"/>
              <w:rPr>
                <w:rFonts w:eastAsia="Times New Roman" w:cs="Times New Roman"/>
                <w:lang w:val="hr-HR" w:eastAsia="hr-HR"/>
              </w:rPr>
            </w:pPr>
            <w:r w:rsidRPr="00FC1940">
              <w:rPr>
                <w:rFonts w:eastAsia="Times New Roman" w:cs="Times New Roman"/>
                <w:lang w:val="hr-HR" w:eastAsia="hr-HR"/>
              </w:rPr>
              <w:t xml:space="preserve">Joanna </w:t>
            </w:r>
            <w:proofErr w:type="spellStart"/>
            <w:r w:rsidRPr="00FC1940">
              <w:rPr>
                <w:rFonts w:eastAsia="Times New Roman" w:cs="Times New Roman"/>
                <w:lang w:val="hr-HR" w:eastAsia="hr-HR"/>
              </w:rPr>
              <w:t>Rapacka</w:t>
            </w:r>
            <w:proofErr w:type="spellEnd"/>
            <w:r w:rsidRPr="00FC1940">
              <w:rPr>
                <w:rFonts w:eastAsia="Times New Roman" w:cs="Times New Roman"/>
                <w:lang w:val="hr-HR" w:eastAsia="hr-HR"/>
              </w:rPr>
              <w:t xml:space="preserve">: Leksikon hrvatskih tradicija, </w:t>
            </w:r>
            <w:proofErr w:type="spellStart"/>
            <w:r w:rsidRPr="00FC1940">
              <w:rPr>
                <w:rFonts w:eastAsia="Times New Roman" w:cs="Times New Roman"/>
                <w:lang w:val="hr-HR" w:eastAsia="hr-HR"/>
              </w:rPr>
              <w:t>prev</w:t>
            </w:r>
            <w:proofErr w:type="spellEnd"/>
            <w:r w:rsidRPr="00FC1940">
              <w:rPr>
                <w:rFonts w:eastAsia="Times New Roman" w:cs="Times New Roman"/>
                <w:lang w:val="hr-HR" w:eastAsia="hr-HR"/>
              </w:rPr>
              <w:t>. D. Blažina, Matica hrvatska, Zagreb, 2002.</w:t>
            </w:r>
            <w:r w:rsidRPr="00C70DBA">
              <w:rPr>
                <w:rFonts w:eastAsia="Times New Roman" w:cs="Times New Roman"/>
                <w:lang w:val="hr-HR" w:eastAsia="hr-HR"/>
              </w:rPr>
              <w:t xml:space="preserve">; </w:t>
            </w:r>
          </w:p>
          <w:p w:rsidR="00AA3BAD" w:rsidRPr="00AD200A" w:rsidRDefault="00AD200A" w:rsidP="00A07958">
            <w:pPr>
              <w:spacing w:after="0" w:line="240" w:lineRule="auto"/>
              <w:rPr>
                <w:rFonts w:eastAsia="Times New Roman" w:cs="Times New Roman"/>
                <w:lang w:val="hr-HR" w:eastAsia="hr-HR"/>
              </w:rPr>
            </w:pPr>
            <w:r w:rsidRPr="00C70DBA">
              <w:rPr>
                <w:rFonts w:eastAsia="Times New Roman" w:cs="Times New Roman"/>
                <w:lang w:val="hr-HR" w:eastAsia="hr-HR"/>
              </w:rPr>
              <w:t xml:space="preserve">D. Blažina, U auri Dušnog dana, Biblioteka Književna smotra, Hrvatsko filološko društvo, Zagreb, 2005. </w:t>
            </w:r>
          </w:p>
        </w:tc>
      </w:tr>
    </w:tbl>
    <w:p w:rsidR="00AA3BAD" w:rsidRDefault="00AA3BAD" w:rsidP="00AD200A">
      <w:pPr>
        <w:spacing w:line="240" w:lineRule="auto"/>
      </w:pPr>
    </w:p>
    <w:p w:rsidR="00AD200A" w:rsidRDefault="00AD200A">
      <w:pPr>
        <w:spacing w:line="240" w:lineRule="auto"/>
      </w:pPr>
    </w:p>
    <w:sectPr w:rsidR="00AD200A">
      <w:pgSz w:w="12240" w:h="15840"/>
      <w:pgMar w:top="709" w:right="1417" w:bottom="142"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5B5" w:rsidRDefault="00F305B5">
      <w:pPr>
        <w:spacing w:after="0" w:line="240" w:lineRule="auto"/>
      </w:pPr>
      <w:r>
        <w:separator/>
      </w:r>
    </w:p>
  </w:endnote>
  <w:endnote w:type="continuationSeparator" w:id="0">
    <w:p w:rsidR="00F305B5" w:rsidRDefault="00F3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5B5" w:rsidRDefault="00F305B5">
      <w:r>
        <w:separator/>
      </w:r>
    </w:p>
  </w:footnote>
  <w:footnote w:type="continuationSeparator" w:id="0">
    <w:p w:rsidR="00F305B5" w:rsidRDefault="00F305B5">
      <w:r>
        <w:continuationSeparator/>
      </w:r>
    </w:p>
  </w:footnote>
  <w:footnote w:id="1">
    <w:p w:rsidR="00AA3BAD" w:rsidRPr="00A07958" w:rsidRDefault="00FB0D23" w:rsidP="00A07958">
      <w:pPr>
        <w:spacing w:after="0" w:line="240" w:lineRule="auto"/>
        <w:jc w:val="both"/>
        <w:rPr>
          <w:sz w:val="18"/>
          <w:szCs w:val="18"/>
        </w:rPr>
      </w:pPr>
      <w:r>
        <w:rPr>
          <w:rStyle w:val="FootnoteReference"/>
          <w:sz w:val="20"/>
          <w:szCs w:val="20"/>
        </w:rPr>
        <w:footnoteRef/>
      </w:r>
      <w:r>
        <w:rPr>
          <w:rStyle w:val="FootnoteReference"/>
          <w:sz w:val="20"/>
          <w:szCs w:val="20"/>
        </w:rPr>
        <w:tab/>
      </w:r>
      <w:r>
        <w:rPr>
          <w:sz w:val="20"/>
          <w:szCs w:val="20"/>
        </w:rPr>
        <w:t xml:space="preserve"> </w:t>
      </w:r>
      <w:r w:rsidRPr="00A07958">
        <w:rPr>
          <w:sz w:val="18"/>
          <w:szCs w:val="18"/>
        </w:rPr>
        <w:t>BA, MA, PhD; 2</w:t>
      </w:r>
      <w:r w:rsidRPr="00A07958">
        <w:rPr>
          <w:sz w:val="18"/>
          <w:szCs w:val="18"/>
          <w:vertAlign w:val="superscript"/>
        </w:rPr>
        <w:t>nd</w:t>
      </w:r>
      <w:r w:rsidRPr="00A07958">
        <w:rPr>
          <w:sz w:val="18"/>
          <w:szCs w:val="18"/>
        </w:rPr>
        <w:t xml:space="preserve"> year …</w:t>
      </w:r>
    </w:p>
  </w:footnote>
  <w:footnote w:id="2">
    <w:p w:rsidR="00AA3BAD" w:rsidRPr="00A07958" w:rsidRDefault="00FB0D23" w:rsidP="00A07958">
      <w:pPr>
        <w:spacing w:after="0" w:line="240" w:lineRule="auto"/>
        <w:jc w:val="both"/>
        <w:rPr>
          <w:sz w:val="18"/>
          <w:szCs w:val="18"/>
        </w:rPr>
      </w:pPr>
      <w:r w:rsidRPr="00A07958">
        <w:rPr>
          <w:rStyle w:val="FootnoteReference"/>
          <w:sz w:val="18"/>
          <w:szCs w:val="18"/>
        </w:rPr>
        <w:footnoteRef/>
      </w:r>
      <w:r w:rsidRPr="00A07958">
        <w:rPr>
          <w:rStyle w:val="FootnoteReference"/>
          <w:sz w:val="18"/>
          <w:szCs w:val="18"/>
        </w:rPr>
        <w:tab/>
      </w:r>
      <w:r w:rsidRPr="00A07958">
        <w:rPr>
          <w:sz w:val="18"/>
          <w:szCs w:val="18"/>
        </w:rPr>
        <w:t xml:space="preserve"> Winter, Summer, Academic Year</w:t>
      </w:r>
    </w:p>
  </w:footnote>
  <w:footnote w:id="3">
    <w:p w:rsidR="00AA3BAD" w:rsidRPr="00A07958" w:rsidRDefault="00FB0D23" w:rsidP="00A07958">
      <w:pPr>
        <w:pStyle w:val="FootnoteText"/>
        <w:spacing w:after="0"/>
        <w:jc w:val="both"/>
        <w:rPr>
          <w:sz w:val="18"/>
          <w:szCs w:val="18"/>
        </w:rPr>
      </w:pPr>
      <w:r w:rsidRPr="00A07958">
        <w:rPr>
          <w:rStyle w:val="FootnoteReference"/>
          <w:sz w:val="18"/>
          <w:szCs w:val="18"/>
        </w:rPr>
        <w:footnoteRef/>
      </w:r>
      <w:r w:rsidRPr="00A07958">
        <w:rPr>
          <w:rStyle w:val="FootnoteReference"/>
          <w:sz w:val="18"/>
          <w:szCs w:val="18"/>
        </w:rPr>
        <w:tab/>
      </w:r>
      <w:r w:rsidRPr="00A07958">
        <w:rPr>
          <w:sz w:val="18"/>
          <w:szCs w:val="18"/>
        </w:rPr>
        <w:t xml:space="preserve"> Teaching language according to the regular </w:t>
      </w:r>
      <w:proofErr w:type="spellStart"/>
      <w:r w:rsidRPr="00A07958">
        <w:rPr>
          <w:sz w:val="18"/>
          <w:szCs w:val="18"/>
        </w:rPr>
        <w:t>programme</w:t>
      </w:r>
      <w:proofErr w:type="spellEnd"/>
      <w:r w:rsidRPr="00A07958">
        <w:rPr>
          <w:sz w:val="18"/>
          <w:szCs w:val="18"/>
        </w:rPr>
        <w:t xml:space="preserve"> (e.g. Croatian, French, Slovenian…)</w:t>
      </w:r>
    </w:p>
  </w:footnote>
  <w:footnote w:id="4">
    <w:p w:rsidR="00AA3BAD" w:rsidRPr="00A07958" w:rsidRDefault="00FB0D23" w:rsidP="00A07958">
      <w:pPr>
        <w:pStyle w:val="FootnoteText"/>
        <w:spacing w:after="0"/>
        <w:jc w:val="both"/>
        <w:rPr>
          <w:sz w:val="18"/>
          <w:szCs w:val="18"/>
        </w:rPr>
      </w:pPr>
      <w:r w:rsidRPr="00A07958">
        <w:rPr>
          <w:rStyle w:val="FootnoteReference"/>
          <w:sz w:val="18"/>
          <w:szCs w:val="18"/>
        </w:rPr>
        <w:footnoteRef/>
      </w:r>
      <w:r w:rsidRPr="00A07958">
        <w:rPr>
          <w:rStyle w:val="FootnoteReference"/>
          <w:sz w:val="18"/>
          <w:szCs w:val="18"/>
        </w:rPr>
        <w:tab/>
      </w:r>
      <w:r w:rsidRPr="00A07958">
        <w:rPr>
          <w:sz w:val="18"/>
          <w:szCs w:val="18"/>
        </w:rPr>
        <w:t xml:space="preserve"> Direct instructions: teaching through lectures/seminars/exercises and teacher-led demonstrations in the classroom; Presentations; Classroom discussion; E-Learning (Omega, etc.); Fieldwork; Other (specify)</w:t>
      </w:r>
    </w:p>
  </w:footnote>
  <w:footnote w:id="5">
    <w:p w:rsidR="00AA3BAD" w:rsidRPr="00A07958" w:rsidRDefault="00FB0D23" w:rsidP="00A07958">
      <w:pPr>
        <w:pStyle w:val="FootnoteText"/>
        <w:spacing w:after="0"/>
        <w:jc w:val="both"/>
        <w:rPr>
          <w:sz w:val="18"/>
          <w:szCs w:val="18"/>
        </w:rPr>
      </w:pPr>
      <w:r w:rsidRPr="00A07958">
        <w:rPr>
          <w:rStyle w:val="FootnoteReference"/>
          <w:sz w:val="18"/>
          <w:szCs w:val="18"/>
        </w:rPr>
        <w:footnoteRef/>
      </w:r>
      <w:r w:rsidRPr="00A07958">
        <w:rPr>
          <w:rStyle w:val="FootnoteReference"/>
          <w:sz w:val="18"/>
          <w:szCs w:val="18"/>
        </w:rPr>
        <w:tab/>
      </w:r>
      <w:r w:rsidRPr="00A07958">
        <w:rPr>
          <w:sz w:val="18"/>
          <w:szCs w:val="18"/>
        </w:rPr>
        <w:t xml:space="preserve"> </w:t>
      </w:r>
      <w:proofErr w:type="spellStart"/>
      <w:r w:rsidRPr="00A07958">
        <w:rPr>
          <w:sz w:val="18"/>
          <w:szCs w:val="18"/>
          <w:lang w:val="hr-HR"/>
        </w:rPr>
        <w:t>According</w:t>
      </w:r>
      <w:proofErr w:type="spellEnd"/>
      <w:r w:rsidRPr="00A07958">
        <w:rPr>
          <w:sz w:val="18"/>
          <w:szCs w:val="18"/>
          <w:lang w:val="hr-HR"/>
        </w:rPr>
        <w:t xml:space="preserve"> to CEFR (</w:t>
      </w:r>
      <w:proofErr w:type="spellStart"/>
      <w:r w:rsidRPr="00A07958">
        <w:rPr>
          <w:sz w:val="18"/>
          <w:szCs w:val="18"/>
          <w:lang w:val="hr-HR"/>
        </w:rPr>
        <w:t>e.g</w:t>
      </w:r>
      <w:proofErr w:type="spellEnd"/>
      <w:r w:rsidRPr="00A07958">
        <w:rPr>
          <w:sz w:val="18"/>
          <w:szCs w:val="18"/>
          <w:lang w:val="hr-HR"/>
        </w:rPr>
        <w:t>. English B2, German C1…)</w:t>
      </w:r>
    </w:p>
  </w:footnote>
  <w:footnote w:id="6">
    <w:p w:rsidR="00AA3BAD" w:rsidRPr="00A07958" w:rsidRDefault="00FB0D23" w:rsidP="00A07958">
      <w:pPr>
        <w:pStyle w:val="FootnoteText"/>
        <w:spacing w:after="0"/>
        <w:jc w:val="both"/>
        <w:rPr>
          <w:sz w:val="18"/>
          <w:szCs w:val="18"/>
        </w:rPr>
      </w:pPr>
      <w:r w:rsidRPr="00A07958">
        <w:rPr>
          <w:rStyle w:val="FootnoteReference"/>
          <w:sz w:val="18"/>
          <w:szCs w:val="18"/>
        </w:rPr>
        <w:footnoteRef/>
      </w:r>
      <w:r w:rsidRPr="00A07958">
        <w:rPr>
          <w:rStyle w:val="FootnoteReference"/>
          <w:sz w:val="18"/>
          <w:szCs w:val="18"/>
        </w:rPr>
        <w:tab/>
      </w:r>
      <w:r w:rsidRPr="00A07958">
        <w:rPr>
          <w:sz w:val="18"/>
          <w:szCs w:val="18"/>
        </w:rPr>
        <w:t xml:space="preserve"> </w:t>
      </w:r>
      <w:r w:rsidRPr="00A07958">
        <w:rPr>
          <w:b/>
          <w:sz w:val="18"/>
          <w:szCs w:val="18"/>
        </w:rPr>
        <w:t>Language options for guest (exchange) students):</w:t>
      </w:r>
    </w:p>
    <w:p w:rsidR="00AA3BAD" w:rsidRPr="00A07958" w:rsidRDefault="00FB0D23" w:rsidP="00A07958">
      <w:pPr>
        <w:pStyle w:val="FootnoteText"/>
        <w:spacing w:after="0"/>
        <w:jc w:val="both"/>
        <w:rPr>
          <w:sz w:val="18"/>
          <w:szCs w:val="18"/>
        </w:rPr>
      </w:pPr>
      <w:r w:rsidRPr="00A07958">
        <w:rPr>
          <w:sz w:val="18"/>
          <w:szCs w:val="18"/>
        </w:rPr>
        <w:tab/>
        <w:t xml:space="preserve">L1 - All teaching activities </w:t>
      </w:r>
      <w:proofErr w:type="gramStart"/>
      <w:r w:rsidRPr="00A07958">
        <w:rPr>
          <w:sz w:val="18"/>
          <w:szCs w:val="18"/>
        </w:rPr>
        <w:t>will be held</w:t>
      </w:r>
      <w:proofErr w:type="gramEnd"/>
      <w:r w:rsidRPr="00A07958">
        <w:rPr>
          <w:sz w:val="18"/>
          <w:szCs w:val="18"/>
        </w:rPr>
        <w:t xml:space="preserve">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AA3BAD" w:rsidRPr="00A07958" w:rsidRDefault="00FB0D23" w:rsidP="00A07958">
      <w:pPr>
        <w:pStyle w:val="FootnoteText"/>
        <w:spacing w:after="0"/>
        <w:jc w:val="both"/>
        <w:rPr>
          <w:sz w:val="18"/>
          <w:szCs w:val="18"/>
        </w:rPr>
      </w:pPr>
      <w:r w:rsidRPr="00A07958">
        <w:rPr>
          <w:sz w:val="18"/>
          <w:szCs w:val="18"/>
        </w:rPr>
        <w:tab/>
        <w:t xml:space="preserve">L2 - All teaching activities </w:t>
      </w:r>
      <w:proofErr w:type="gramStart"/>
      <w:r w:rsidRPr="00A07958">
        <w:rPr>
          <w:sz w:val="18"/>
          <w:szCs w:val="18"/>
        </w:rPr>
        <w:t>will be held</w:t>
      </w:r>
      <w:proofErr w:type="gramEnd"/>
      <w:r w:rsidRPr="00A07958">
        <w:rPr>
          <w:sz w:val="18"/>
          <w:szCs w:val="18"/>
        </w:rPr>
        <w:t xml:space="preserve"> in regular teaching language only.</w:t>
      </w:r>
    </w:p>
  </w:footnote>
  <w:footnote w:id="7">
    <w:p w:rsidR="00AA3BAD" w:rsidRPr="00A07958" w:rsidRDefault="00FB0D23" w:rsidP="00A07958">
      <w:pPr>
        <w:spacing w:after="0" w:line="240" w:lineRule="auto"/>
        <w:jc w:val="both"/>
        <w:rPr>
          <w:sz w:val="18"/>
          <w:szCs w:val="18"/>
        </w:rPr>
      </w:pPr>
      <w:r w:rsidRPr="00A07958">
        <w:rPr>
          <w:rStyle w:val="FootnoteReference"/>
          <w:sz w:val="18"/>
          <w:szCs w:val="18"/>
        </w:rPr>
        <w:footnoteRef/>
      </w:r>
      <w:r w:rsidRPr="00A07958">
        <w:rPr>
          <w:rStyle w:val="FootnoteReference"/>
          <w:sz w:val="18"/>
          <w:szCs w:val="18"/>
        </w:rPr>
        <w:tab/>
      </w:r>
      <w:r w:rsidRPr="00A07958">
        <w:rPr>
          <w:sz w:val="18"/>
          <w:szCs w:val="18"/>
        </w:rPr>
        <w:t xml:space="preserve"> Class attendance, Essay, Preliminary exam, Seminar paper, Practical work, Written exam, Oral Exam, Other (specify)</w:t>
      </w:r>
    </w:p>
  </w:footnote>
  <w:footnote w:id="8">
    <w:p w:rsidR="00AA3BAD" w:rsidRPr="00A07958" w:rsidRDefault="00FB0D23" w:rsidP="00A07958">
      <w:pPr>
        <w:spacing w:after="0" w:line="240" w:lineRule="auto"/>
        <w:jc w:val="both"/>
        <w:rPr>
          <w:sz w:val="18"/>
          <w:szCs w:val="18"/>
        </w:rPr>
      </w:pPr>
      <w:r w:rsidRPr="00A07958">
        <w:rPr>
          <w:rStyle w:val="FootnoteReference"/>
          <w:sz w:val="18"/>
          <w:szCs w:val="18"/>
        </w:rPr>
        <w:footnoteRef/>
      </w:r>
      <w:r w:rsidRPr="00A07958">
        <w:rPr>
          <w:rStyle w:val="FootnoteReference"/>
          <w:sz w:val="18"/>
          <w:szCs w:val="18"/>
        </w:rPr>
        <w:tab/>
      </w:r>
      <w:r w:rsidRPr="00A07958">
        <w:rPr>
          <w:sz w:val="18"/>
          <w:szCs w:val="18"/>
        </w:rPr>
        <w:t xml:space="preserve"> Standard - the institutional grading system (5 Excellent; 4 Very good; 3 Good; 2 Sufficient; 1 Fail)</w:t>
      </w:r>
    </w:p>
    <w:p w:rsidR="00AA3BAD" w:rsidRPr="00A07958" w:rsidRDefault="00FB0D23" w:rsidP="00A07958">
      <w:pPr>
        <w:spacing w:after="0" w:line="240" w:lineRule="auto"/>
        <w:jc w:val="both"/>
        <w:rPr>
          <w:sz w:val="18"/>
          <w:szCs w:val="18"/>
        </w:rPr>
      </w:pPr>
      <w:r w:rsidRPr="00A07958">
        <w:rPr>
          <w:sz w:val="18"/>
          <w:szCs w:val="18"/>
        </w:rPr>
        <w:tab/>
        <w:t xml:space="preserve">Additional: </w:t>
      </w:r>
    </w:p>
    <w:p w:rsidR="00AA3BAD" w:rsidRPr="00A07958" w:rsidRDefault="00FB0D23" w:rsidP="00A07958">
      <w:pPr>
        <w:spacing w:after="0" w:line="240" w:lineRule="auto"/>
        <w:jc w:val="both"/>
        <w:rPr>
          <w:sz w:val="18"/>
          <w:szCs w:val="18"/>
        </w:rPr>
      </w:pPr>
      <w:r w:rsidRPr="00A07958">
        <w:rPr>
          <w:sz w:val="18"/>
          <w:szCs w:val="18"/>
        </w:rPr>
        <w:tab/>
        <w:t>RA - Regular Attendance (No ECTS credits awarded for course attendance only)</w:t>
      </w:r>
    </w:p>
    <w:p w:rsidR="00AA3BAD" w:rsidRPr="00A07958" w:rsidRDefault="00FB0D23" w:rsidP="00A07958">
      <w:pPr>
        <w:spacing w:after="0" w:line="240" w:lineRule="auto"/>
        <w:jc w:val="both"/>
        <w:rPr>
          <w:sz w:val="18"/>
          <w:szCs w:val="18"/>
        </w:rPr>
      </w:pPr>
      <w:r w:rsidRPr="00A07958">
        <w:rPr>
          <w:sz w:val="18"/>
          <w:szCs w:val="18"/>
        </w:rPr>
        <w:tab/>
        <w:t>C - Completed (Student has completed proscribed obligations/no ECTS credits awarded)</w:t>
      </w:r>
    </w:p>
    <w:p w:rsidR="00AA3BAD" w:rsidRPr="00A07958" w:rsidRDefault="00FB0D23" w:rsidP="00A07958">
      <w:pPr>
        <w:spacing w:after="0" w:line="240" w:lineRule="auto"/>
        <w:jc w:val="both"/>
        <w:rPr>
          <w:sz w:val="18"/>
          <w:szCs w:val="18"/>
        </w:rPr>
      </w:pPr>
      <w:r w:rsidRPr="00A07958">
        <w:rPr>
          <w:sz w:val="18"/>
          <w:szCs w:val="18"/>
        </w:rPr>
        <w:tab/>
        <w:t>C+ – Completed + ECTS (Student has completed proscribed obligations + ECTS credits awarded)</w:t>
      </w:r>
    </w:p>
    <w:p w:rsidR="00AA3BAD" w:rsidRPr="00A07958" w:rsidRDefault="00AA3BAD" w:rsidP="00A07958">
      <w:pPr>
        <w:pStyle w:val="FootnoteText"/>
        <w:spacing w:after="0"/>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BAD"/>
    <w:rsid w:val="0041227D"/>
    <w:rsid w:val="00A07958"/>
    <w:rsid w:val="00AA3BAD"/>
    <w:rsid w:val="00AD200A"/>
    <w:rsid w:val="00BF2DE6"/>
    <w:rsid w:val="00F305B5"/>
    <w:rsid w:val="00FB0D2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C9AA"/>
  <w15:docId w15:val="{3DA7EC56-FFFB-429A-8A88-253DA4B1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714366"/>
    <w:rPr>
      <w:sz w:val="20"/>
      <w:szCs w:val="20"/>
    </w:rPr>
  </w:style>
  <w:style w:type="character" w:styleId="FootnoteReference">
    <w:name w:val="footnote reference"/>
    <w:basedOn w:val="DefaultParagraphFont"/>
    <w:uiPriority w:val="99"/>
    <w:semiHidden/>
    <w:unhideWhenUsed/>
    <w:qFormat/>
    <w:rsid w:val="00714366"/>
    <w:rPr>
      <w:vertAlign w:val="superscript"/>
    </w:rPr>
  </w:style>
  <w:style w:type="character" w:customStyle="1" w:styleId="BalloonTextChar">
    <w:name w:val="Balloon Text Char"/>
    <w:basedOn w:val="DefaultParagraphFont"/>
    <w:link w:val="BalloonText"/>
    <w:uiPriority w:val="99"/>
    <w:semiHidden/>
    <w:qFormat/>
    <w:rsid w:val="00966E70"/>
    <w:rPr>
      <w:rFonts w:ascii="Segoe UI" w:hAnsi="Segoe UI" w:cs="Segoe UI"/>
      <w:sz w:val="18"/>
      <w:szCs w:val="18"/>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Times New Roman" w:eastAsia="Arial Unicode MS" w:hAnsi="Times New Roman"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rPr>
  </w:style>
  <w:style w:type="paragraph" w:styleId="Caption">
    <w:name w:val="caption"/>
    <w:basedOn w:val="Normal"/>
    <w:qFormat/>
    <w:pPr>
      <w:suppressLineNumbers/>
      <w:spacing w:before="120" w:after="120"/>
    </w:pPr>
    <w:rPr>
      <w:rFonts w:ascii="Times New Roman" w:hAnsi="Times New Roman"/>
      <w:i/>
      <w:iCs/>
      <w:sz w:val="24"/>
      <w:szCs w:val="24"/>
    </w:rPr>
  </w:style>
  <w:style w:type="paragraph" w:customStyle="1" w:styleId="Index">
    <w:name w:val="Index"/>
    <w:basedOn w:val="Normal"/>
    <w:qFormat/>
    <w:pPr>
      <w:suppressLineNumbers/>
    </w:pPr>
    <w:rPr>
      <w:rFonts w:ascii="Times New Roman" w:hAnsi="Times New Roman"/>
    </w:rPr>
  </w:style>
  <w:style w:type="paragraph" w:styleId="FootnoteText">
    <w:name w:val="footnote text"/>
    <w:basedOn w:val="Normal"/>
    <w:link w:val="FootnoteTextChar"/>
  </w:style>
  <w:style w:type="paragraph" w:styleId="BalloonText">
    <w:name w:val="Balloon Text"/>
    <w:basedOn w:val="Normal"/>
    <w:link w:val="BalloonTextChar"/>
    <w:uiPriority w:val="99"/>
    <w:semiHidden/>
    <w:unhideWhenUsed/>
    <w:qFormat/>
    <w:rsid w:val="00966E70"/>
    <w:pPr>
      <w:spacing w:after="0" w:line="240" w:lineRule="auto"/>
    </w:pPr>
    <w:rPr>
      <w:rFonts w:ascii="Segoe UI" w:hAnsi="Segoe UI" w:cs="Segoe UI"/>
      <w:sz w:val="18"/>
      <w:szCs w:val="18"/>
    </w:rPr>
  </w:style>
  <w:style w:type="table" w:styleId="TableGrid">
    <w:name w:val="Table Grid"/>
    <w:basedOn w:val="TableNormal"/>
    <w:uiPriority w:val="3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AD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AE3E2-62F0-4A27-8F04-0001770F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3</cp:revision>
  <cp:lastPrinted>2019-02-18T13:08:00Z</cp:lastPrinted>
  <dcterms:created xsi:type="dcterms:W3CDTF">2019-05-15T09:17:00Z</dcterms:created>
  <dcterms:modified xsi:type="dcterms:W3CDTF">2019-05-17T13:58:00Z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