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078"/>
        <w:gridCol w:w="3082"/>
      </w:tblGrid>
      <w:tr w:rsidR="004E19AD" w:rsidRPr="00090E37" w:rsidTr="002E33D5">
        <w:tc>
          <w:tcPr>
            <w:tcW w:w="9396" w:type="dxa"/>
            <w:gridSpan w:val="3"/>
            <w:shd w:val="clear" w:color="auto" w:fill="auto"/>
          </w:tcPr>
          <w:p w:rsidR="004E19AD" w:rsidRPr="00090E37" w:rsidRDefault="004E19AD" w:rsidP="002E33D5">
            <w:pPr>
              <w:spacing w:after="0" w:line="240" w:lineRule="auto"/>
              <w:rPr>
                <w:rFonts w:cs="Calibri"/>
              </w:rPr>
            </w:pPr>
            <w:r w:rsidRPr="00090E37">
              <w:rPr>
                <w:rFonts w:cs="Calibri"/>
              </w:rPr>
              <w:t xml:space="preserve">STUDY PROGRAMME: </w:t>
            </w:r>
          </w:p>
          <w:p w:rsidR="004E19AD" w:rsidRPr="00090E37" w:rsidRDefault="004E19AD" w:rsidP="002E33D5">
            <w:pPr>
              <w:spacing w:after="0" w:line="240" w:lineRule="auto"/>
              <w:rPr>
                <w:rFonts w:cs="Calibri"/>
                <w:b/>
              </w:rPr>
            </w:pPr>
            <w:r w:rsidRPr="00090E37">
              <w:rPr>
                <w:rFonts w:cs="Calibri"/>
                <w:b/>
              </w:rPr>
              <w:t>South Slavic languages and literatures</w:t>
            </w:r>
          </w:p>
        </w:tc>
      </w:tr>
      <w:tr w:rsidR="004E19AD" w:rsidRPr="00090E37" w:rsidTr="002E33D5">
        <w:tc>
          <w:tcPr>
            <w:tcW w:w="9396" w:type="dxa"/>
            <w:gridSpan w:val="3"/>
            <w:shd w:val="clear" w:color="auto" w:fill="auto"/>
          </w:tcPr>
          <w:p w:rsidR="004E19AD" w:rsidRPr="00090E37" w:rsidRDefault="004E19AD" w:rsidP="002E33D5">
            <w:pPr>
              <w:spacing w:after="0" w:line="240" w:lineRule="auto"/>
              <w:rPr>
                <w:rFonts w:cs="Calibri"/>
              </w:rPr>
            </w:pPr>
            <w:r w:rsidRPr="00090E37">
              <w:rPr>
                <w:rFonts w:cs="Calibri"/>
              </w:rPr>
              <w:t>Level and Year</w:t>
            </w:r>
            <w:r w:rsidRPr="00090E37">
              <w:rPr>
                <w:rStyle w:val="FootnoteReference"/>
                <w:rFonts w:cs="Calibri"/>
              </w:rPr>
              <w:footnoteReference w:id="2"/>
            </w:r>
            <w:r w:rsidRPr="00090E37">
              <w:rPr>
                <w:rFonts w:cs="Calibri"/>
              </w:rPr>
              <w:t xml:space="preserve">:  </w:t>
            </w:r>
          </w:p>
          <w:p w:rsidR="004E19AD" w:rsidRPr="00090E37" w:rsidRDefault="004E19AD" w:rsidP="002E33D5">
            <w:pPr>
              <w:spacing w:after="0" w:line="240" w:lineRule="auto"/>
              <w:rPr>
                <w:rFonts w:cs="Calibri"/>
                <w:b/>
              </w:rPr>
            </w:pPr>
            <w:r>
              <w:rPr>
                <w:rFonts w:cs="Calibri"/>
                <w:color w:val="FF0000"/>
              </w:rPr>
              <w:t>MA 2</w:t>
            </w:r>
            <w:r w:rsidRPr="001A00B8">
              <w:rPr>
                <w:rFonts w:cs="Calibri"/>
                <w:color w:val="FF0000"/>
                <w:vertAlign w:val="superscript"/>
              </w:rPr>
              <w:t>rd</w:t>
            </w:r>
            <w:r w:rsidRPr="001A00B8">
              <w:rPr>
                <w:rFonts w:cs="Calibri"/>
                <w:color w:val="FF0000"/>
              </w:rPr>
              <w:t xml:space="preserve"> year</w:t>
            </w:r>
          </w:p>
        </w:tc>
      </w:tr>
      <w:tr w:rsidR="004E19AD" w:rsidRPr="00090E37" w:rsidTr="002E33D5">
        <w:tc>
          <w:tcPr>
            <w:tcW w:w="9396" w:type="dxa"/>
            <w:gridSpan w:val="3"/>
            <w:shd w:val="clear" w:color="auto" w:fill="auto"/>
          </w:tcPr>
          <w:p w:rsidR="004E19AD" w:rsidRPr="00090E37" w:rsidRDefault="004E19AD" w:rsidP="002E33D5">
            <w:pPr>
              <w:spacing w:after="0" w:line="240" w:lineRule="auto"/>
              <w:rPr>
                <w:rFonts w:cs="Calibri"/>
              </w:rPr>
            </w:pPr>
            <w:r w:rsidRPr="00090E37">
              <w:rPr>
                <w:rFonts w:cs="Calibri"/>
              </w:rPr>
              <w:t>Course Title:</w:t>
            </w:r>
          </w:p>
          <w:p w:rsidR="004E19AD" w:rsidRPr="00453BDD" w:rsidRDefault="004E19AD" w:rsidP="002E33D5">
            <w:pPr>
              <w:spacing w:after="0" w:line="240" w:lineRule="auto"/>
              <w:rPr>
                <w:rFonts w:cs="Calibri"/>
                <w:b/>
                <w:i/>
              </w:rPr>
            </w:pPr>
            <w:r w:rsidRPr="00453BDD">
              <w:rPr>
                <w:rFonts w:cs="Calibri"/>
                <w:b/>
                <w:i/>
              </w:rPr>
              <w:t>Pragmatics of South Slavic Languages</w:t>
            </w:r>
          </w:p>
        </w:tc>
      </w:tr>
      <w:tr w:rsidR="004E19AD" w:rsidRPr="00090E37" w:rsidTr="002E33D5">
        <w:tc>
          <w:tcPr>
            <w:tcW w:w="9396" w:type="dxa"/>
            <w:gridSpan w:val="3"/>
            <w:shd w:val="clear" w:color="auto" w:fill="auto"/>
          </w:tcPr>
          <w:p w:rsidR="004E19AD" w:rsidRPr="00090E37" w:rsidRDefault="004E19AD" w:rsidP="002E33D5">
            <w:pPr>
              <w:spacing w:after="0" w:line="240" w:lineRule="auto"/>
              <w:rPr>
                <w:rFonts w:cs="Calibri"/>
              </w:rPr>
            </w:pPr>
            <w:r w:rsidRPr="00090E37">
              <w:rPr>
                <w:rFonts w:cs="Calibri"/>
              </w:rPr>
              <w:t>Course Description:</w:t>
            </w:r>
          </w:p>
          <w:p w:rsidR="004E19AD" w:rsidRPr="00090E37" w:rsidRDefault="004E19AD" w:rsidP="002E33D5">
            <w:pPr>
              <w:spacing w:after="0" w:line="240" w:lineRule="auto"/>
              <w:jc w:val="both"/>
              <w:rPr>
                <w:rFonts w:cs="Calibri"/>
              </w:rPr>
            </w:pPr>
            <w:r w:rsidRPr="00090E37">
              <w:rPr>
                <w:rFonts w:cs="Calibri"/>
              </w:rPr>
              <w:t xml:space="preserve">The course is designed in two parts. The first cycle of lectures and seminars is devoted to the elaboration of basic pragmatic concepts and theories: subject matter and objectives of pragmatics (pragmalinguistics); pragmatics and other linguistic disciplines; language forms and functions; the relationship between language and context; deixis; speech acts; conversational implicature; presupposition; literary pragmatics. The second cycle of lectures and seminars is devoted to the relationship between grammar and pragmatics, which is problematized through the prism of selected topics on language categories in South Slavic languages (in/definiteness, vocativity, imperativity, discourse particles, fillers etc.). </w:t>
            </w:r>
          </w:p>
        </w:tc>
      </w:tr>
      <w:tr w:rsidR="004E19AD" w:rsidRPr="00090E37" w:rsidTr="002E33D5">
        <w:tc>
          <w:tcPr>
            <w:tcW w:w="9396" w:type="dxa"/>
            <w:gridSpan w:val="3"/>
            <w:shd w:val="clear" w:color="auto" w:fill="auto"/>
          </w:tcPr>
          <w:p w:rsidR="004E19AD" w:rsidRPr="00651C85" w:rsidRDefault="004E19AD" w:rsidP="002E33D5">
            <w:pPr>
              <w:spacing w:after="0" w:line="240" w:lineRule="auto"/>
              <w:rPr>
                <w:rFonts w:cs="Calibri"/>
              </w:rPr>
            </w:pPr>
            <w:r w:rsidRPr="00651C85">
              <w:rPr>
                <w:rFonts w:cs="Calibri"/>
              </w:rPr>
              <w:t>Semester</w:t>
            </w:r>
            <w:r w:rsidRPr="00651C85">
              <w:rPr>
                <w:rStyle w:val="FootnoteReference"/>
                <w:rFonts w:cs="Calibri"/>
              </w:rPr>
              <w:footnoteReference w:id="3"/>
            </w:r>
            <w:r w:rsidRPr="00651C85">
              <w:rPr>
                <w:rFonts w:cs="Calibri"/>
              </w:rPr>
              <w:t xml:space="preserve">: </w:t>
            </w:r>
          </w:p>
          <w:p w:rsidR="004E19AD" w:rsidRPr="00651C85" w:rsidRDefault="004E19AD" w:rsidP="002E33D5">
            <w:pPr>
              <w:spacing w:after="0" w:line="240" w:lineRule="auto"/>
              <w:rPr>
                <w:rFonts w:cs="Calibri"/>
                <w:color w:val="FF0000"/>
              </w:rPr>
            </w:pPr>
            <w:r w:rsidRPr="00651C85">
              <w:rPr>
                <w:rFonts w:cs="Calibri"/>
                <w:color w:val="FF0000"/>
              </w:rPr>
              <w:t>Winter</w:t>
            </w:r>
          </w:p>
        </w:tc>
      </w:tr>
      <w:tr w:rsidR="004E19AD" w:rsidRPr="00090E37" w:rsidTr="002E33D5">
        <w:tc>
          <w:tcPr>
            <w:tcW w:w="9396" w:type="dxa"/>
            <w:gridSpan w:val="3"/>
            <w:shd w:val="clear" w:color="auto" w:fill="auto"/>
          </w:tcPr>
          <w:p w:rsidR="004E19AD" w:rsidRPr="00651C85" w:rsidRDefault="004E19AD" w:rsidP="002E33D5">
            <w:pPr>
              <w:spacing w:after="0" w:line="240" w:lineRule="auto"/>
              <w:rPr>
                <w:rFonts w:cs="Calibri"/>
              </w:rPr>
            </w:pPr>
            <w:r w:rsidRPr="00651C85">
              <w:rPr>
                <w:rFonts w:cs="Calibri"/>
              </w:rPr>
              <w:t>Lecturer(s)/Teacher(s):</w:t>
            </w:r>
          </w:p>
          <w:p w:rsidR="004E19AD" w:rsidRPr="00651C85" w:rsidRDefault="004E19AD" w:rsidP="002E33D5">
            <w:pPr>
              <w:spacing w:after="0" w:line="240" w:lineRule="auto"/>
              <w:rPr>
                <w:rFonts w:cs="Calibri"/>
              </w:rPr>
            </w:pPr>
            <w:r w:rsidRPr="00651C85">
              <w:rPr>
                <w:rFonts w:cs="Calibri"/>
              </w:rPr>
              <w:t>Virna Karlić</w:t>
            </w:r>
          </w:p>
        </w:tc>
      </w:tr>
      <w:tr w:rsidR="004E19AD" w:rsidRPr="00090E37" w:rsidTr="002E33D5">
        <w:tc>
          <w:tcPr>
            <w:tcW w:w="9396" w:type="dxa"/>
            <w:gridSpan w:val="3"/>
            <w:shd w:val="clear" w:color="auto" w:fill="auto"/>
          </w:tcPr>
          <w:p w:rsidR="004E19AD" w:rsidRPr="00651C85" w:rsidRDefault="004E19AD" w:rsidP="002E33D5">
            <w:pPr>
              <w:spacing w:after="0" w:line="240" w:lineRule="auto"/>
              <w:rPr>
                <w:rFonts w:cs="Calibri"/>
              </w:rPr>
            </w:pPr>
            <w:r w:rsidRPr="00651C85">
              <w:rPr>
                <w:rFonts w:cs="Calibri"/>
              </w:rPr>
              <w:t>Teaching Language (regular)</w:t>
            </w:r>
            <w:r w:rsidRPr="00651C85">
              <w:rPr>
                <w:rStyle w:val="FootnoteReference"/>
                <w:rFonts w:cs="Calibri"/>
              </w:rPr>
              <w:footnoteReference w:id="4"/>
            </w:r>
            <w:r w:rsidRPr="00651C85">
              <w:rPr>
                <w:rFonts w:cs="Calibri"/>
              </w:rPr>
              <w:t>:</w:t>
            </w:r>
          </w:p>
          <w:p w:rsidR="004E19AD" w:rsidRPr="00651C85" w:rsidRDefault="004E19AD" w:rsidP="002E33D5">
            <w:pPr>
              <w:spacing w:after="0" w:line="240" w:lineRule="auto"/>
              <w:rPr>
                <w:rFonts w:cs="Calibri"/>
              </w:rPr>
            </w:pPr>
            <w:r w:rsidRPr="00651C85">
              <w:rPr>
                <w:rFonts w:cs="Calibri"/>
              </w:rPr>
              <w:t>South Slavic languages</w:t>
            </w:r>
          </w:p>
        </w:tc>
      </w:tr>
      <w:tr w:rsidR="004E19AD" w:rsidRPr="00090E37" w:rsidTr="002E33D5">
        <w:tc>
          <w:tcPr>
            <w:tcW w:w="9396" w:type="dxa"/>
            <w:gridSpan w:val="3"/>
            <w:shd w:val="clear" w:color="auto" w:fill="auto"/>
          </w:tcPr>
          <w:p w:rsidR="004E19AD" w:rsidRPr="00651C85" w:rsidRDefault="004E19AD" w:rsidP="002E33D5">
            <w:pPr>
              <w:spacing w:after="0" w:line="240" w:lineRule="auto"/>
              <w:rPr>
                <w:rFonts w:cs="Calibri"/>
              </w:rPr>
            </w:pPr>
            <w:r w:rsidRPr="00651C85">
              <w:rPr>
                <w:rFonts w:cs="Calibri"/>
              </w:rPr>
              <w:t>Teaching Methods (regular):</w:t>
            </w:r>
            <w:r w:rsidRPr="00651C85">
              <w:rPr>
                <w:rStyle w:val="FootnoteReference"/>
                <w:rFonts w:cs="Calibri"/>
              </w:rPr>
              <w:footnoteReference w:id="5"/>
            </w:r>
          </w:p>
          <w:p w:rsidR="004E19AD" w:rsidRPr="00651C85" w:rsidRDefault="004E19AD" w:rsidP="002E33D5">
            <w:pPr>
              <w:spacing w:after="0" w:line="240" w:lineRule="auto"/>
              <w:rPr>
                <w:rFonts w:cs="Calibri"/>
              </w:rPr>
            </w:pPr>
            <w:r w:rsidRPr="00651C85">
              <w:rPr>
                <w:rFonts w:cs="Calibri"/>
              </w:rPr>
              <w:t>Lectures and Seminars /</w:t>
            </w:r>
            <w:r w:rsidRPr="00651C85">
              <w:t xml:space="preserve"> </w:t>
            </w:r>
            <w:r w:rsidRPr="00651C85">
              <w:rPr>
                <w:rFonts w:cs="Calibri"/>
              </w:rPr>
              <w:t>Presentations; Classroom discussion; E-Learning (Omega)</w:t>
            </w:r>
          </w:p>
        </w:tc>
      </w:tr>
      <w:tr w:rsidR="004E19AD" w:rsidRPr="00090E37" w:rsidTr="002E33D5">
        <w:tc>
          <w:tcPr>
            <w:tcW w:w="3132" w:type="dxa"/>
            <w:shd w:val="clear" w:color="auto" w:fill="auto"/>
          </w:tcPr>
          <w:p w:rsidR="004E19AD" w:rsidRPr="00651C85" w:rsidRDefault="004E19AD" w:rsidP="002E33D5">
            <w:pPr>
              <w:spacing w:after="0" w:line="240" w:lineRule="auto"/>
              <w:rPr>
                <w:rFonts w:cs="Calibri"/>
              </w:rPr>
            </w:pPr>
            <w:r w:rsidRPr="00651C85">
              <w:rPr>
                <w:rFonts w:cs="Calibri"/>
              </w:rPr>
              <w:t>Teaching:</w:t>
            </w:r>
          </w:p>
        </w:tc>
        <w:tc>
          <w:tcPr>
            <w:tcW w:w="3132" w:type="dxa"/>
            <w:shd w:val="clear" w:color="auto" w:fill="auto"/>
          </w:tcPr>
          <w:p w:rsidR="004E19AD" w:rsidRPr="00651C85" w:rsidRDefault="004E19AD" w:rsidP="002E33D5">
            <w:pPr>
              <w:spacing w:after="0" w:line="240" w:lineRule="auto"/>
              <w:rPr>
                <w:rFonts w:cs="Calibri"/>
              </w:rPr>
            </w:pPr>
            <w:r w:rsidRPr="00651C85">
              <w:rPr>
                <w:rFonts w:cs="Calibri"/>
              </w:rPr>
              <w:t>Weekly (hours)</w:t>
            </w:r>
          </w:p>
        </w:tc>
        <w:tc>
          <w:tcPr>
            <w:tcW w:w="3132" w:type="dxa"/>
            <w:shd w:val="clear" w:color="auto" w:fill="auto"/>
          </w:tcPr>
          <w:p w:rsidR="004E19AD" w:rsidRPr="00651C85" w:rsidRDefault="004E19AD" w:rsidP="002E33D5">
            <w:pPr>
              <w:spacing w:after="0" w:line="240" w:lineRule="auto"/>
              <w:rPr>
                <w:rFonts w:cs="Calibri"/>
              </w:rPr>
            </w:pPr>
            <w:r w:rsidRPr="00651C85">
              <w:rPr>
                <w:rFonts w:cs="Calibri"/>
              </w:rPr>
              <w:t>Semester (hours)</w:t>
            </w:r>
          </w:p>
          <w:p w:rsidR="004E19AD" w:rsidRPr="00651C85" w:rsidRDefault="004E19AD" w:rsidP="002E33D5">
            <w:pPr>
              <w:spacing w:after="0" w:line="240" w:lineRule="auto"/>
              <w:rPr>
                <w:rFonts w:cs="Calibri"/>
              </w:rPr>
            </w:pPr>
          </w:p>
        </w:tc>
      </w:tr>
      <w:tr w:rsidR="004E19AD" w:rsidRPr="00090E37" w:rsidTr="002E33D5">
        <w:tc>
          <w:tcPr>
            <w:tcW w:w="3132" w:type="dxa"/>
            <w:shd w:val="clear" w:color="auto" w:fill="auto"/>
          </w:tcPr>
          <w:p w:rsidR="004E19AD" w:rsidRPr="00651C85" w:rsidRDefault="004E19AD" w:rsidP="002E33D5">
            <w:pPr>
              <w:spacing w:after="0" w:line="240" w:lineRule="auto"/>
              <w:rPr>
                <w:rFonts w:cs="Calibri"/>
              </w:rPr>
            </w:pPr>
            <w:r w:rsidRPr="00651C85">
              <w:rPr>
                <w:rFonts w:cs="Calibri"/>
              </w:rPr>
              <w:t>Lectures:</w:t>
            </w:r>
          </w:p>
        </w:tc>
        <w:tc>
          <w:tcPr>
            <w:tcW w:w="3132" w:type="dxa"/>
            <w:shd w:val="clear" w:color="auto" w:fill="auto"/>
          </w:tcPr>
          <w:p w:rsidR="004E19AD" w:rsidRPr="00651C85" w:rsidRDefault="004E19AD" w:rsidP="002E33D5">
            <w:pPr>
              <w:spacing w:after="0" w:line="240" w:lineRule="auto"/>
              <w:rPr>
                <w:rFonts w:cs="Calibri"/>
              </w:rPr>
            </w:pPr>
            <w:r w:rsidRPr="00651C85">
              <w:rPr>
                <w:rFonts w:cs="Calibri"/>
              </w:rPr>
              <w:t>1</w:t>
            </w:r>
          </w:p>
        </w:tc>
        <w:tc>
          <w:tcPr>
            <w:tcW w:w="3132" w:type="dxa"/>
            <w:shd w:val="clear" w:color="auto" w:fill="auto"/>
          </w:tcPr>
          <w:p w:rsidR="004E19AD" w:rsidRPr="00651C85" w:rsidRDefault="004E19AD" w:rsidP="002E33D5">
            <w:pPr>
              <w:spacing w:after="0" w:line="240" w:lineRule="auto"/>
              <w:rPr>
                <w:rFonts w:cs="Calibri"/>
              </w:rPr>
            </w:pPr>
            <w:r w:rsidRPr="00651C85">
              <w:rPr>
                <w:rFonts w:cs="Calibri"/>
              </w:rPr>
              <w:t>15</w:t>
            </w:r>
          </w:p>
        </w:tc>
      </w:tr>
      <w:tr w:rsidR="004E19AD" w:rsidRPr="00090E37" w:rsidTr="002E33D5">
        <w:tc>
          <w:tcPr>
            <w:tcW w:w="3132" w:type="dxa"/>
            <w:shd w:val="clear" w:color="auto" w:fill="auto"/>
          </w:tcPr>
          <w:p w:rsidR="004E19AD" w:rsidRPr="00651C85" w:rsidRDefault="004E19AD" w:rsidP="002E33D5">
            <w:pPr>
              <w:spacing w:after="0" w:line="240" w:lineRule="auto"/>
              <w:rPr>
                <w:rFonts w:cs="Calibri"/>
              </w:rPr>
            </w:pPr>
            <w:r w:rsidRPr="00651C85">
              <w:rPr>
                <w:rFonts w:cs="Calibri"/>
              </w:rPr>
              <w:t>Exercises:</w:t>
            </w:r>
          </w:p>
        </w:tc>
        <w:tc>
          <w:tcPr>
            <w:tcW w:w="3132" w:type="dxa"/>
            <w:shd w:val="clear" w:color="auto" w:fill="auto"/>
          </w:tcPr>
          <w:p w:rsidR="004E19AD" w:rsidRPr="00651C85" w:rsidRDefault="004E19AD" w:rsidP="002E33D5">
            <w:pPr>
              <w:spacing w:after="0" w:line="240" w:lineRule="auto"/>
              <w:rPr>
                <w:rFonts w:cs="Calibri"/>
              </w:rPr>
            </w:pPr>
            <w:r w:rsidRPr="00651C85">
              <w:rPr>
                <w:rFonts w:cs="Calibri"/>
              </w:rPr>
              <w:t>0</w:t>
            </w:r>
          </w:p>
        </w:tc>
        <w:tc>
          <w:tcPr>
            <w:tcW w:w="3132" w:type="dxa"/>
            <w:shd w:val="clear" w:color="auto" w:fill="auto"/>
          </w:tcPr>
          <w:p w:rsidR="004E19AD" w:rsidRPr="00651C85" w:rsidRDefault="004E19AD" w:rsidP="002E33D5">
            <w:pPr>
              <w:spacing w:after="0" w:line="240" w:lineRule="auto"/>
              <w:rPr>
                <w:rFonts w:cs="Calibri"/>
              </w:rPr>
            </w:pPr>
            <w:r w:rsidRPr="00651C85">
              <w:rPr>
                <w:rFonts w:cs="Calibri"/>
              </w:rPr>
              <w:t>0</w:t>
            </w:r>
          </w:p>
        </w:tc>
      </w:tr>
      <w:tr w:rsidR="004E19AD" w:rsidRPr="00090E37" w:rsidTr="002E33D5">
        <w:tc>
          <w:tcPr>
            <w:tcW w:w="3132" w:type="dxa"/>
            <w:shd w:val="clear" w:color="auto" w:fill="auto"/>
          </w:tcPr>
          <w:p w:rsidR="004E19AD" w:rsidRPr="00651C85" w:rsidRDefault="004E19AD" w:rsidP="002E33D5">
            <w:pPr>
              <w:spacing w:after="0" w:line="240" w:lineRule="auto"/>
              <w:rPr>
                <w:rFonts w:cs="Calibri"/>
              </w:rPr>
            </w:pPr>
            <w:r w:rsidRPr="00651C85">
              <w:rPr>
                <w:rFonts w:cs="Calibri"/>
              </w:rPr>
              <w:t>Seminars:</w:t>
            </w:r>
          </w:p>
        </w:tc>
        <w:tc>
          <w:tcPr>
            <w:tcW w:w="3132" w:type="dxa"/>
            <w:shd w:val="clear" w:color="auto" w:fill="auto"/>
          </w:tcPr>
          <w:p w:rsidR="004E19AD" w:rsidRPr="00651C85" w:rsidRDefault="004E19AD" w:rsidP="002E33D5">
            <w:pPr>
              <w:spacing w:after="0" w:line="240" w:lineRule="auto"/>
              <w:rPr>
                <w:rFonts w:cs="Calibri"/>
              </w:rPr>
            </w:pPr>
            <w:r w:rsidRPr="00651C85">
              <w:rPr>
                <w:rFonts w:cs="Calibri"/>
              </w:rPr>
              <w:t>1</w:t>
            </w:r>
          </w:p>
        </w:tc>
        <w:tc>
          <w:tcPr>
            <w:tcW w:w="3132" w:type="dxa"/>
            <w:shd w:val="clear" w:color="auto" w:fill="auto"/>
          </w:tcPr>
          <w:p w:rsidR="004E19AD" w:rsidRPr="00651C85" w:rsidRDefault="004E19AD" w:rsidP="002E33D5">
            <w:pPr>
              <w:spacing w:after="0" w:line="240" w:lineRule="auto"/>
              <w:rPr>
                <w:rFonts w:cs="Calibri"/>
              </w:rPr>
            </w:pPr>
            <w:r w:rsidRPr="00651C85">
              <w:rPr>
                <w:rFonts w:cs="Calibri"/>
              </w:rPr>
              <w:t>15</w:t>
            </w:r>
          </w:p>
        </w:tc>
      </w:tr>
      <w:tr w:rsidR="004E19AD" w:rsidRPr="00090E37" w:rsidTr="002E33D5">
        <w:tc>
          <w:tcPr>
            <w:tcW w:w="9396" w:type="dxa"/>
            <w:gridSpan w:val="3"/>
            <w:shd w:val="clear" w:color="auto" w:fill="auto"/>
          </w:tcPr>
          <w:p w:rsidR="004E19AD" w:rsidRPr="00651C85" w:rsidRDefault="004E19AD" w:rsidP="002E33D5">
            <w:pPr>
              <w:spacing w:after="0" w:line="240" w:lineRule="auto"/>
              <w:rPr>
                <w:rFonts w:cs="Calibri"/>
              </w:rPr>
            </w:pPr>
            <w:r w:rsidRPr="00651C85">
              <w:rPr>
                <w:rFonts w:cs="Calibri"/>
              </w:rPr>
              <w:t>ECTS: 5</w:t>
            </w:r>
          </w:p>
        </w:tc>
      </w:tr>
      <w:tr w:rsidR="004E19AD" w:rsidRPr="00090E37" w:rsidTr="002E33D5">
        <w:tc>
          <w:tcPr>
            <w:tcW w:w="9396" w:type="dxa"/>
            <w:gridSpan w:val="3"/>
            <w:shd w:val="clear" w:color="auto" w:fill="auto"/>
          </w:tcPr>
          <w:p w:rsidR="004E19AD" w:rsidRPr="00651C85" w:rsidRDefault="004E19AD" w:rsidP="002E33D5">
            <w:pPr>
              <w:spacing w:after="0" w:line="240" w:lineRule="auto"/>
              <w:rPr>
                <w:rFonts w:cs="Calibri"/>
              </w:rPr>
            </w:pPr>
            <w:r w:rsidRPr="00651C85">
              <w:rPr>
                <w:rFonts w:cs="Calibri"/>
              </w:rPr>
              <w:t>Teaching language and level</w:t>
            </w:r>
            <w:r w:rsidRPr="00651C85">
              <w:rPr>
                <w:rStyle w:val="FootnoteReference"/>
                <w:rFonts w:cs="Calibri"/>
              </w:rPr>
              <w:footnoteReference w:id="6"/>
            </w:r>
            <w:r w:rsidRPr="00651C85">
              <w:rPr>
                <w:rFonts w:cs="Calibri"/>
              </w:rPr>
              <w:t xml:space="preserve">  for guest (exchange) students:</w:t>
            </w:r>
          </w:p>
          <w:p w:rsidR="004E19AD" w:rsidRPr="00651C85" w:rsidRDefault="004E19AD" w:rsidP="002E33D5">
            <w:pPr>
              <w:spacing w:after="0" w:line="240" w:lineRule="auto"/>
              <w:rPr>
                <w:rFonts w:cs="Calibri"/>
              </w:rPr>
            </w:pPr>
            <w:r w:rsidRPr="00651C85">
              <w:rPr>
                <w:rFonts w:cs="Calibri"/>
              </w:rPr>
              <w:lastRenderedPageBreak/>
              <w:t>South Slavic languages (at least one of them) B2</w:t>
            </w:r>
          </w:p>
        </w:tc>
      </w:tr>
      <w:tr w:rsidR="004E19AD" w:rsidRPr="00090E37" w:rsidTr="002E33D5">
        <w:tc>
          <w:tcPr>
            <w:tcW w:w="9396" w:type="dxa"/>
            <w:gridSpan w:val="3"/>
            <w:shd w:val="clear" w:color="auto" w:fill="auto"/>
          </w:tcPr>
          <w:p w:rsidR="004E19AD" w:rsidRPr="00651C85" w:rsidRDefault="004E19AD" w:rsidP="002E33D5">
            <w:pPr>
              <w:spacing w:after="0" w:line="240" w:lineRule="auto"/>
              <w:rPr>
                <w:rFonts w:cs="Calibri"/>
              </w:rPr>
            </w:pPr>
            <w:r w:rsidRPr="00651C85">
              <w:rPr>
                <w:rFonts w:cs="Calibri"/>
              </w:rPr>
              <w:lastRenderedPageBreak/>
              <w:t>Teaching Methods</w:t>
            </w:r>
            <w:r w:rsidRPr="00651C85">
              <w:rPr>
                <w:rStyle w:val="FootnoteReference"/>
                <w:rFonts w:cs="Calibri"/>
              </w:rPr>
              <w:footnoteReference w:id="7"/>
            </w:r>
            <w:r w:rsidRPr="00651C85">
              <w:rPr>
                <w:rFonts w:cs="Calibri"/>
              </w:rPr>
              <w:t xml:space="preserve"> for guest (exchange) students:</w:t>
            </w:r>
          </w:p>
          <w:p w:rsidR="004E19AD" w:rsidRPr="00651C85" w:rsidRDefault="004E19AD" w:rsidP="002E33D5">
            <w:pPr>
              <w:spacing w:after="0" w:line="240" w:lineRule="auto"/>
              <w:rPr>
                <w:rFonts w:cs="Calibri"/>
              </w:rPr>
            </w:pPr>
            <w:r w:rsidRPr="00651C85">
              <w:rPr>
                <w:rFonts w:cs="Calibri"/>
              </w:rPr>
              <w:t>L1</w:t>
            </w:r>
          </w:p>
        </w:tc>
      </w:tr>
      <w:tr w:rsidR="004E19AD" w:rsidRPr="00090E37" w:rsidTr="002E33D5">
        <w:tc>
          <w:tcPr>
            <w:tcW w:w="9396" w:type="dxa"/>
            <w:gridSpan w:val="3"/>
            <w:shd w:val="clear" w:color="auto" w:fill="auto"/>
          </w:tcPr>
          <w:p w:rsidR="004E19AD" w:rsidRPr="00090E37" w:rsidRDefault="004E19AD" w:rsidP="002E33D5">
            <w:pPr>
              <w:spacing w:after="0" w:line="240" w:lineRule="auto"/>
              <w:rPr>
                <w:rFonts w:cs="Calibri"/>
              </w:rPr>
            </w:pPr>
            <w:r w:rsidRPr="00090E37">
              <w:rPr>
                <w:rFonts w:cs="Calibri"/>
              </w:rPr>
              <w:t>Evaluation Methods</w:t>
            </w:r>
            <w:r w:rsidRPr="00090E37">
              <w:rPr>
                <w:rStyle w:val="FootnoteReference"/>
                <w:rFonts w:cs="Calibri"/>
              </w:rPr>
              <w:footnoteReference w:id="8"/>
            </w:r>
            <w:r w:rsidRPr="00090E37">
              <w:rPr>
                <w:rFonts w:cs="Calibri"/>
              </w:rPr>
              <w:t xml:space="preserve"> and Grading</w:t>
            </w:r>
            <w:r w:rsidRPr="00090E37">
              <w:rPr>
                <w:rStyle w:val="FootnoteReference"/>
                <w:rFonts w:cs="Calibri"/>
              </w:rPr>
              <w:footnoteReference w:id="9"/>
            </w:r>
            <w:r w:rsidRPr="00090E37">
              <w:rPr>
                <w:rFonts w:cs="Calibri"/>
              </w:rPr>
              <w:t>:</w:t>
            </w:r>
          </w:p>
          <w:p w:rsidR="004E19AD" w:rsidRPr="00090E37" w:rsidRDefault="004E19AD" w:rsidP="002E33D5">
            <w:pPr>
              <w:spacing w:after="0" w:line="240" w:lineRule="auto"/>
              <w:rPr>
                <w:rFonts w:cs="Calibri"/>
                <w:b/>
              </w:rPr>
            </w:pPr>
            <w:r w:rsidRPr="00090E37">
              <w:rPr>
                <w:rFonts w:cs="Calibri"/>
                <w:b/>
              </w:rPr>
              <w:t>Standard</w:t>
            </w:r>
          </w:p>
        </w:tc>
      </w:tr>
      <w:tr w:rsidR="004E19AD" w:rsidRPr="00090E37" w:rsidTr="002E33D5">
        <w:tc>
          <w:tcPr>
            <w:tcW w:w="9396" w:type="dxa"/>
            <w:gridSpan w:val="3"/>
            <w:shd w:val="clear" w:color="auto" w:fill="auto"/>
          </w:tcPr>
          <w:p w:rsidR="004E19AD" w:rsidRPr="00090E37" w:rsidRDefault="004E19AD" w:rsidP="002E33D5">
            <w:pPr>
              <w:spacing w:after="0" w:line="240" w:lineRule="auto"/>
              <w:rPr>
                <w:rFonts w:cs="Calibri"/>
              </w:rPr>
            </w:pPr>
            <w:r w:rsidRPr="00090E37">
              <w:rPr>
                <w:rFonts w:cs="Calibri"/>
              </w:rPr>
              <w:t>Learning Outcomes:</w:t>
            </w:r>
          </w:p>
          <w:p w:rsidR="004E19AD" w:rsidRPr="00090E37" w:rsidRDefault="004E19AD" w:rsidP="002E33D5">
            <w:pPr>
              <w:spacing w:after="0" w:line="240" w:lineRule="auto"/>
              <w:rPr>
                <w:rFonts w:cs="Calibri"/>
              </w:rPr>
            </w:pPr>
            <w:r w:rsidRPr="00090E37">
              <w:rPr>
                <w:rFonts w:cs="Calibri"/>
              </w:rPr>
              <w:t>The course objective is to introduce students with basic pragmatic concepts and theories and to point out the importance of the role of a pragmatic approach to achieving a complete grammatical description of South Slavic languages.</w:t>
            </w:r>
          </w:p>
        </w:tc>
      </w:tr>
      <w:tr w:rsidR="004E19AD" w:rsidRPr="00090E37" w:rsidTr="002E33D5">
        <w:tc>
          <w:tcPr>
            <w:tcW w:w="9396" w:type="dxa"/>
            <w:gridSpan w:val="3"/>
            <w:shd w:val="clear" w:color="auto" w:fill="auto"/>
          </w:tcPr>
          <w:p w:rsidR="004E19AD" w:rsidRPr="00090E37" w:rsidRDefault="004E19AD" w:rsidP="002E33D5">
            <w:pPr>
              <w:spacing w:after="0" w:line="240" w:lineRule="auto"/>
              <w:rPr>
                <w:rFonts w:cs="Calibri"/>
              </w:rPr>
            </w:pPr>
            <w:r w:rsidRPr="00090E37">
              <w:rPr>
                <w:rFonts w:cs="Calibri"/>
              </w:rPr>
              <w:t>Literature:</w:t>
            </w:r>
          </w:p>
          <w:p w:rsidR="004E19AD" w:rsidRPr="00090E37" w:rsidRDefault="004E19AD" w:rsidP="002E33D5">
            <w:pPr>
              <w:spacing w:after="0" w:line="240" w:lineRule="auto"/>
              <w:rPr>
                <w:rFonts w:cs="Calibri"/>
              </w:rPr>
            </w:pPr>
            <w:r w:rsidRPr="00090E37">
              <w:rPr>
                <w:rFonts w:cs="Calibri"/>
              </w:rPr>
              <w:t xml:space="preserve">Levinson, Stephen C. (1983): Pragmatics. Cambridge University Press. </w:t>
            </w:r>
          </w:p>
          <w:p w:rsidR="004E19AD" w:rsidRPr="00090E37" w:rsidRDefault="004E19AD" w:rsidP="002E33D5">
            <w:pPr>
              <w:spacing w:after="0" w:line="240" w:lineRule="auto"/>
              <w:rPr>
                <w:rFonts w:cs="Calibri"/>
              </w:rPr>
            </w:pPr>
            <w:r w:rsidRPr="00090E37">
              <w:rPr>
                <w:rFonts w:cs="Calibri"/>
              </w:rPr>
              <w:t>Brown, Gillian; Yule, George (1983): Discourse analysis. Cambridge University Press. (selected chapters)</w:t>
            </w:r>
          </w:p>
          <w:p w:rsidR="004E19AD" w:rsidRPr="00090E37" w:rsidRDefault="004E19AD" w:rsidP="002E33D5">
            <w:pPr>
              <w:spacing w:after="0" w:line="240" w:lineRule="auto"/>
              <w:rPr>
                <w:rFonts w:cs="Calibri"/>
              </w:rPr>
            </w:pPr>
            <w:r w:rsidRPr="00090E37">
              <w:rPr>
                <w:rFonts w:cs="Calibri"/>
              </w:rPr>
              <w:t>Glovacki-Bernardi, Z. et al. (2002): Uvod u lingvistiku. Zagreb: Školska knjiga. (selected chapters)</w:t>
            </w:r>
          </w:p>
          <w:p w:rsidR="004E19AD" w:rsidRPr="00090E37" w:rsidRDefault="004E19AD" w:rsidP="002E33D5">
            <w:pPr>
              <w:pStyle w:val="Heading3"/>
              <w:spacing w:before="0" w:beforeAutospacing="0" w:after="0" w:afterAutospacing="0"/>
              <w:rPr>
                <w:rFonts w:ascii="Calibri" w:hAnsi="Calibri" w:cs="Calibri"/>
                <w:b w:val="0"/>
                <w:sz w:val="22"/>
                <w:szCs w:val="22"/>
              </w:rPr>
            </w:pPr>
            <w:r w:rsidRPr="00090E37">
              <w:rPr>
                <w:rFonts w:ascii="Calibri" w:hAnsi="Calibri" w:cs="Calibri"/>
                <w:b w:val="0"/>
                <w:sz w:val="22"/>
                <w:szCs w:val="22"/>
              </w:rPr>
              <w:t>Mišković-Luković, Mirjana (2015): Pragmatika. Filološko-umetnički fakultet, Kragujevac.</w:t>
            </w:r>
          </w:p>
          <w:p w:rsidR="004E19AD" w:rsidRPr="00090E37" w:rsidRDefault="004E19AD" w:rsidP="002E33D5">
            <w:pPr>
              <w:spacing w:after="0" w:line="240" w:lineRule="auto"/>
              <w:rPr>
                <w:rFonts w:cs="Calibri"/>
              </w:rPr>
            </w:pPr>
            <w:r w:rsidRPr="00090E37">
              <w:rPr>
                <w:rFonts w:cs="Calibri"/>
              </w:rPr>
              <w:t>Pintarić, Neda (2002): Pragmemi u komunikaciji. Zagreb: Zavod za lingvistiku Filozofskog fakulteta Sveučilišta u Zagrebu. (selected chapters)</w:t>
            </w:r>
          </w:p>
          <w:p w:rsidR="004E19AD" w:rsidRPr="00090E37" w:rsidRDefault="004E19AD" w:rsidP="002E33D5">
            <w:pPr>
              <w:spacing w:after="0" w:line="240" w:lineRule="auto"/>
              <w:rPr>
                <w:rFonts w:cs="Calibri"/>
              </w:rPr>
            </w:pPr>
            <w:r w:rsidRPr="00090E37">
              <w:rPr>
                <w:rFonts w:cs="Calibri"/>
              </w:rPr>
              <w:t xml:space="preserve">Pranjković, Ivo (2018): Gramatika I pragmatika. </w:t>
            </w:r>
            <w:r w:rsidRPr="00090E37">
              <w:rPr>
                <w:rFonts w:cs="Calibri"/>
                <w:i/>
              </w:rPr>
              <w:t xml:space="preserve">Riječki filološki dani XI, </w:t>
            </w:r>
            <w:r w:rsidRPr="00090E37">
              <w:rPr>
                <w:rFonts w:cs="Calibri"/>
              </w:rPr>
              <w:t>13-22.</w:t>
            </w: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39E" w:rsidRDefault="0076339E" w:rsidP="004E19AD">
      <w:pPr>
        <w:spacing w:after="0" w:line="240" w:lineRule="auto"/>
      </w:pPr>
      <w:r>
        <w:separator/>
      </w:r>
    </w:p>
  </w:endnote>
  <w:endnote w:type="continuationSeparator" w:id="1">
    <w:p w:rsidR="0076339E" w:rsidRDefault="0076339E" w:rsidP="004E1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39E" w:rsidRDefault="0076339E" w:rsidP="004E19AD">
      <w:pPr>
        <w:spacing w:after="0" w:line="240" w:lineRule="auto"/>
      </w:pPr>
      <w:r>
        <w:separator/>
      </w:r>
    </w:p>
  </w:footnote>
  <w:footnote w:type="continuationSeparator" w:id="1">
    <w:p w:rsidR="0076339E" w:rsidRDefault="0076339E" w:rsidP="004E19AD">
      <w:pPr>
        <w:spacing w:after="0" w:line="240" w:lineRule="auto"/>
      </w:pPr>
      <w:r>
        <w:continuationSeparator/>
      </w:r>
    </w:p>
  </w:footnote>
  <w:footnote w:id="2">
    <w:p w:rsidR="004E19AD" w:rsidRPr="00D12733" w:rsidRDefault="004E19AD" w:rsidP="004E19AD">
      <w:pPr>
        <w:spacing w:after="0" w:line="240" w:lineRule="auto"/>
        <w:jc w:val="both"/>
        <w:rPr>
          <w:sz w:val="20"/>
          <w:szCs w:val="20"/>
        </w:rPr>
      </w:pPr>
      <w:r w:rsidRPr="00D12733">
        <w:rPr>
          <w:rStyle w:val="FootnoteReference"/>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3">
    <w:p w:rsidR="004E19AD" w:rsidRPr="00D12733" w:rsidRDefault="004E19AD" w:rsidP="004E19AD">
      <w:pPr>
        <w:spacing w:after="0" w:line="240" w:lineRule="auto"/>
        <w:jc w:val="both"/>
        <w:rPr>
          <w:sz w:val="20"/>
          <w:szCs w:val="20"/>
        </w:rPr>
      </w:pPr>
      <w:r w:rsidRPr="00D12733">
        <w:rPr>
          <w:rStyle w:val="FootnoteReference"/>
        </w:rPr>
        <w:footnoteRef/>
      </w:r>
      <w:r w:rsidRPr="00D12733">
        <w:rPr>
          <w:sz w:val="20"/>
          <w:szCs w:val="20"/>
        </w:rPr>
        <w:t xml:space="preserve"> Winter, Summer, Academic Year</w:t>
      </w:r>
    </w:p>
  </w:footnote>
  <w:footnote w:id="4">
    <w:p w:rsidR="004E19AD" w:rsidRPr="00C64195" w:rsidRDefault="004E19AD" w:rsidP="004E19AD">
      <w:pPr>
        <w:pStyle w:val="FootnoteText"/>
        <w:jc w:val="both"/>
        <w:rPr>
          <w:lang w:val="hr-HR"/>
        </w:rPr>
      </w:pPr>
      <w:r>
        <w:rPr>
          <w:rStyle w:val="FootnoteReference"/>
        </w:rPr>
        <w:footnoteRef/>
      </w:r>
      <w:r>
        <w:t xml:space="preserve"> Teaching language according to the regular programme (e.g. Croatian, French, Slovenian…)</w:t>
      </w:r>
    </w:p>
  </w:footnote>
  <w:footnote w:id="5">
    <w:p w:rsidR="004E19AD" w:rsidRPr="00D12733" w:rsidRDefault="004E19AD" w:rsidP="004E19AD">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6">
    <w:p w:rsidR="004E19AD" w:rsidRPr="00D12733" w:rsidRDefault="004E19AD" w:rsidP="004E19AD">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7">
    <w:p w:rsidR="004E19AD" w:rsidRPr="00A075EC" w:rsidRDefault="004E19AD" w:rsidP="004E19AD">
      <w:pPr>
        <w:pStyle w:val="FootnoteText"/>
        <w:jc w:val="both"/>
      </w:pPr>
      <w:r w:rsidRPr="00A075EC">
        <w:rPr>
          <w:rStyle w:val="FootnoteReference"/>
        </w:rPr>
        <w:footnoteRef/>
      </w:r>
      <w:r w:rsidRPr="00A075EC">
        <w:t xml:space="preserve"> Language options for guest (exchange) students):</w:t>
      </w:r>
    </w:p>
    <w:p w:rsidR="004E19AD" w:rsidRPr="00D12733" w:rsidRDefault="004E19AD" w:rsidP="004E19AD">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w:t>
      </w:r>
      <w:r>
        <w:t>allow</w:t>
      </w:r>
      <w:r w:rsidRPr="00D12733">
        <w:t xml:space="preserve"> the possibility of taking the associated exams in foreign language.</w:t>
      </w:r>
    </w:p>
    <w:p w:rsidR="004E19AD" w:rsidRPr="00D12733" w:rsidRDefault="004E19AD" w:rsidP="004E19AD">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8">
    <w:p w:rsidR="004E19AD" w:rsidRPr="00D12733" w:rsidRDefault="004E19AD" w:rsidP="004E19AD">
      <w:pPr>
        <w:spacing w:after="0" w:line="240" w:lineRule="auto"/>
        <w:jc w:val="both"/>
        <w:rPr>
          <w:sz w:val="20"/>
          <w:szCs w:val="20"/>
        </w:rPr>
      </w:pPr>
      <w:r w:rsidRPr="00D12733">
        <w:rPr>
          <w:rStyle w:val="FootnoteReference"/>
        </w:rPr>
        <w:footnoteRef/>
      </w:r>
      <w:r w:rsidRPr="00D12733">
        <w:rPr>
          <w:sz w:val="20"/>
          <w:szCs w:val="20"/>
        </w:rPr>
        <w:t xml:space="preserve"> Class attendance, Essay, Preliminary exam, Seminar paper, Practical work, Written exam, Oral Exam, Other (specify)</w:t>
      </w:r>
    </w:p>
  </w:footnote>
  <w:footnote w:id="9">
    <w:p w:rsidR="004E19AD" w:rsidRPr="00D12733" w:rsidRDefault="004E19AD" w:rsidP="004E19AD">
      <w:pPr>
        <w:spacing w:after="0" w:line="240" w:lineRule="auto"/>
        <w:jc w:val="both"/>
        <w:rPr>
          <w:sz w:val="20"/>
          <w:szCs w:val="20"/>
        </w:rPr>
      </w:pPr>
      <w:r w:rsidRPr="00D12733">
        <w:rPr>
          <w:rStyle w:val="FootnoteReference"/>
        </w:rPr>
        <w:footnoteRef/>
      </w:r>
      <w:r w:rsidRPr="00D12733">
        <w:rPr>
          <w:sz w:val="20"/>
          <w:szCs w:val="20"/>
        </w:rPr>
        <w:t xml:space="preserve"> Standard - the institutional grading system (5 Excellent; 4 Very good; 3 Good; 2 Sufficient; 1 Fail)</w:t>
      </w:r>
    </w:p>
    <w:p w:rsidR="004E19AD" w:rsidRPr="00D12733" w:rsidRDefault="004E19AD" w:rsidP="004E19AD">
      <w:pPr>
        <w:spacing w:after="0" w:line="240" w:lineRule="auto"/>
        <w:jc w:val="both"/>
        <w:rPr>
          <w:sz w:val="20"/>
          <w:szCs w:val="20"/>
        </w:rPr>
      </w:pPr>
      <w:r w:rsidRPr="00D12733">
        <w:rPr>
          <w:sz w:val="20"/>
          <w:szCs w:val="20"/>
        </w:rPr>
        <w:t xml:space="preserve">Additional: </w:t>
      </w:r>
    </w:p>
    <w:p w:rsidR="004E19AD" w:rsidRPr="00D12733" w:rsidRDefault="004E19AD" w:rsidP="004E19AD">
      <w:pPr>
        <w:spacing w:after="0" w:line="240" w:lineRule="auto"/>
        <w:jc w:val="both"/>
        <w:rPr>
          <w:sz w:val="20"/>
          <w:szCs w:val="20"/>
        </w:rPr>
      </w:pPr>
      <w:r w:rsidRPr="00D12733">
        <w:rPr>
          <w:sz w:val="20"/>
          <w:szCs w:val="20"/>
        </w:rPr>
        <w:t>RA - Regular Attendance (No ECTS credits awarded for course attendance only)</w:t>
      </w:r>
    </w:p>
    <w:p w:rsidR="004E19AD" w:rsidRPr="00D12733" w:rsidRDefault="004E19AD" w:rsidP="004E19AD">
      <w:pPr>
        <w:spacing w:after="0" w:line="240" w:lineRule="auto"/>
        <w:jc w:val="both"/>
        <w:rPr>
          <w:sz w:val="20"/>
          <w:szCs w:val="20"/>
        </w:rPr>
      </w:pPr>
      <w:r w:rsidRPr="00D12733">
        <w:rPr>
          <w:sz w:val="20"/>
          <w:szCs w:val="20"/>
        </w:rPr>
        <w:t>C - Completed (Student has completed proscribed obligations/no ECTS credits awarded)</w:t>
      </w:r>
    </w:p>
    <w:p w:rsidR="004E19AD" w:rsidRPr="00D12733" w:rsidRDefault="004E19AD" w:rsidP="004E19AD">
      <w:pPr>
        <w:spacing w:after="0" w:line="240" w:lineRule="auto"/>
        <w:jc w:val="both"/>
        <w:rPr>
          <w:sz w:val="20"/>
          <w:szCs w:val="20"/>
        </w:rPr>
      </w:pPr>
      <w:r w:rsidRPr="00D12733">
        <w:rPr>
          <w:sz w:val="20"/>
          <w:szCs w:val="20"/>
        </w:rPr>
        <w:t>C+ – Completed + ECTS (Student has completed proscribed obligations + ECTS credits awarded)</w:t>
      </w:r>
    </w:p>
    <w:p w:rsidR="004E19AD" w:rsidRPr="00D12733" w:rsidRDefault="004E19AD" w:rsidP="004E19AD">
      <w:pPr>
        <w:pStyle w:val="FootnoteText"/>
        <w:rPr>
          <w:lang w:val="hr-H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19AD"/>
    <w:rsid w:val="004E19AD"/>
    <w:rsid w:val="0076339E"/>
    <w:rsid w:val="00D11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AD"/>
    <w:rPr>
      <w:rFonts w:ascii="Calibri" w:eastAsia="Calibri" w:hAnsi="Calibri" w:cs="Times New Roman"/>
      <w:lang w:val="hr-HR"/>
    </w:rPr>
  </w:style>
  <w:style w:type="paragraph" w:styleId="Heading3">
    <w:name w:val="heading 3"/>
    <w:basedOn w:val="Normal"/>
    <w:link w:val="Heading3Char"/>
    <w:uiPriority w:val="9"/>
    <w:qFormat/>
    <w:rsid w:val="004E19AD"/>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9AD"/>
    <w:rPr>
      <w:rFonts w:ascii="Times New Roman" w:eastAsia="Times New Roman" w:hAnsi="Times New Roman" w:cs="Times New Roman"/>
      <w:b/>
      <w:bCs/>
      <w:sz w:val="27"/>
      <w:szCs w:val="27"/>
      <w:lang w:val="en-US"/>
    </w:rPr>
  </w:style>
  <w:style w:type="paragraph" w:styleId="FootnoteText">
    <w:name w:val="footnote text"/>
    <w:basedOn w:val="Normal"/>
    <w:link w:val="FootnoteTextChar"/>
    <w:uiPriority w:val="99"/>
    <w:semiHidden/>
    <w:unhideWhenUsed/>
    <w:rsid w:val="004E19A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E19AD"/>
    <w:rPr>
      <w:rFonts w:ascii="Calibri" w:eastAsia="Calibri" w:hAnsi="Calibri" w:cs="Times New Roman"/>
      <w:sz w:val="20"/>
      <w:szCs w:val="20"/>
      <w:lang w:val="en-US"/>
    </w:rPr>
  </w:style>
  <w:style w:type="character" w:styleId="FootnoteReference">
    <w:name w:val="footnote reference"/>
    <w:uiPriority w:val="99"/>
    <w:unhideWhenUsed/>
    <w:rsid w:val="004E19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Company>Hewlett-Packard Company</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2019-05-07T03:52:00Z</dcterms:created>
  <dcterms:modified xsi:type="dcterms:W3CDTF">2019-05-07T03:53:00Z</dcterms:modified>
</cp:coreProperties>
</file>