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132"/>
        <w:gridCol w:w="3132"/>
        <w:gridCol w:w="3133"/>
      </w:tblGrid>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 xml:space="preserve">STUDY PROGRAMME: </w:t>
            </w:r>
            <w:r w:rsidRPr="000D66C1">
              <w:rPr>
                <w:rFonts w:cs="Calibri"/>
                <w:b/>
              </w:rPr>
              <w:t>South Slavic languages and literatures</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Level and Year</w:t>
            </w:r>
            <w:r>
              <w:rPr>
                <w:rStyle w:val="FootnoteReference"/>
                <w:rFonts w:cs="Calibri"/>
              </w:rPr>
              <w:footnoteReference w:id="2"/>
            </w:r>
            <w:r>
              <w:rPr>
                <w:rFonts w:cs="Calibri"/>
              </w:rPr>
              <w:t xml:space="preserve">: </w:t>
            </w:r>
            <w:r>
              <w:rPr>
                <w:rFonts w:cs="Calibri"/>
                <w:color w:val="FF0000"/>
              </w:rPr>
              <w:t xml:space="preserve"> MA 1</w:t>
            </w:r>
            <w:r>
              <w:rPr>
                <w:rFonts w:cs="Calibri"/>
                <w:color w:val="FF0000"/>
                <w:vertAlign w:val="superscript"/>
              </w:rPr>
              <w:t xml:space="preserve">st </w:t>
            </w:r>
            <w:r>
              <w:rPr>
                <w:rFonts w:cs="Calibri"/>
                <w:color w:val="FF0000"/>
              </w:rPr>
              <w:t>and 2</w:t>
            </w:r>
            <w:r>
              <w:rPr>
                <w:rFonts w:cs="Calibri"/>
                <w:color w:val="FF0000"/>
                <w:vertAlign w:val="superscript"/>
              </w:rPr>
              <w:t xml:space="preserve">nd </w:t>
            </w:r>
            <w:r>
              <w:rPr>
                <w:rFonts w:cs="Calibri"/>
                <w:color w:val="FF0000"/>
              </w:rPr>
              <w:t>year</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 xml:space="preserve">Course Title: </w:t>
            </w:r>
            <w:r w:rsidRPr="00FA32D3">
              <w:rPr>
                <w:rFonts w:cs="Calibri"/>
                <w:b/>
                <w:i/>
                <w:iCs/>
              </w:rPr>
              <w:t>South Slavic Drama and Theatre of the 20</w:t>
            </w:r>
            <w:r w:rsidRPr="00FA32D3">
              <w:rPr>
                <w:rFonts w:cs="Calibri"/>
                <w:b/>
                <w:i/>
                <w:iCs/>
                <w:vertAlign w:val="superscript"/>
              </w:rPr>
              <w:t xml:space="preserve">th </w:t>
            </w:r>
            <w:r w:rsidRPr="00FA32D3">
              <w:rPr>
                <w:rFonts w:cs="Calibri"/>
                <w:b/>
                <w:i/>
                <w:iCs/>
              </w:rPr>
              <w:t>Century</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Course Description:</w:t>
            </w:r>
          </w:p>
          <w:p w:rsidR="00466865" w:rsidRDefault="00466865" w:rsidP="002E33D5">
            <w:pPr>
              <w:spacing w:after="0" w:line="240" w:lineRule="auto"/>
            </w:pPr>
            <w:r>
              <w:rPr>
                <w:rFonts w:cs="Calibri"/>
              </w:rPr>
              <w:t>The course offers an overview of the 20</w:t>
            </w:r>
            <w:r>
              <w:rPr>
                <w:rFonts w:cs="Calibri"/>
                <w:vertAlign w:val="superscript"/>
              </w:rPr>
              <w:t>th</w:t>
            </w:r>
            <w:r>
              <w:rPr>
                <w:rFonts w:cs="Calibri"/>
              </w:rPr>
              <w:t xml:space="preserve"> Century history of drama and theatre in South Slavic cultures. Emphasis will be on the comparative approach to important and representative authors, texts and phenomena. In order to participate in classrooom discussions students will be expected to read selected plays which will be available online (Omega) and watch selected theatrical performances (in Zagreb theatres or online). Students will also be expected to write short analyses of selected plays and the final paper that will be graded. </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Semester</w:t>
            </w:r>
            <w:r>
              <w:rPr>
                <w:rStyle w:val="FootnoteReference"/>
                <w:rFonts w:cs="Calibri"/>
              </w:rPr>
              <w:footnoteReference w:id="3"/>
            </w:r>
            <w:r>
              <w:rPr>
                <w:rFonts w:cs="Calibri"/>
              </w:rPr>
              <w:t>:</w:t>
            </w:r>
            <w:r>
              <w:rPr>
                <w:rFonts w:cs="Calibri"/>
                <w:color w:val="FF0000"/>
              </w:rPr>
              <w:t xml:space="preserve"> Winter semester</w:t>
            </w:r>
          </w:p>
        </w:tc>
      </w:tr>
      <w:tr w:rsidR="00466865" w:rsidTr="002E33D5">
        <w:trPr>
          <w:trHeight w:val="512"/>
        </w:trPr>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 xml:space="preserve">Lecturer(s)/Teacher(s): </w:t>
            </w:r>
          </w:p>
          <w:p w:rsidR="00466865" w:rsidRDefault="00466865" w:rsidP="002E33D5">
            <w:pPr>
              <w:spacing w:after="0" w:line="240" w:lineRule="auto"/>
            </w:pPr>
            <w:r>
              <w:rPr>
                <w:rFonts w:cs="Calibri"/>
              </w:rPr>
              <w:t xml:space="preserve">Ivica Baković, assist. prof. </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Teaching Language (regular)</w:t>
            </w:r>
            <w:r>
              <w:rPr>
                <w:rStyle w:val="FootnoteReference"/>
                <w:rFonts w:cs="Calibri"/>
              </w:rPr>
              <w:footnoteReference w:id="4"/>
            </w:r>
            <w:r>
              <w:rPr>
                <w:rFonts w:cs="Calibri"/>
              </w:rPr>
              <w:t xml:space="preserve">: </w:t>
            </w:r>
          </w:p>
          <w:p w:rsidR="00466865" w:rsidRDefault="00466865" w:rsidP="002E33D5">
            <w:pPr>
              <w:spacing w:after="0" w:line="240" w:lineRule="auto"/>
            </w:pPr>
            <w:r>
              <w:rPr>
                <w:rFonts w:cs="Calibri"/>
              </w:rPr>
              <w:t>Croatian/Macedonian B2</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rPr>
                <w:rFonts w:cs="Calibri"/>
              </w:rPr>
            </w:pPr>
            <w:r>
              <w:rPr>
                <w:rFonts w:cs="Calibri"/>
              </w:rPr>
              <w:t>Teaching Methods (regular):</w:t>
            </w:r>
            <w:r>
              <w:rPr>
                <w:rStyle w:val="FootnoteReference"/>
                <w:rFonts w:cs="Calibri"/>
              </w:rPr>
              <w:footnoteReference w:id="5"/>
            </w:r>
          </w:p>
          <w:p w:rsidR="00466865" w:rsidRDefault="00466865" w:rsidP="002E33D5">
            <w:pPr>
              <w:spacing w:after="0" w:line="240" w:lineRule="auto"/>
            </w:pPr>
            <w:r>
              <w:rPr>
                <w:rFonts w:cs="Calibri"/>
              </w:rPr>
              <w:t>Direct instructions: teaching through lectures and seminars; Presentations; Classroom discussion; E-Learning (Omega)</w:t>
            </w:r>
          </w:p>
        </w:tc>
      </w:tr>
      <w:tr w:rsidR="00466865"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Teaching:</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Weekly (hours)</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Semester (hours)</w:t>
            </w:r>
          </w:p>
          <w:p w:rsidR="00466865" w:rsidRDefault="00466865" w:rsidP="002E33D5">
            <w:pPr>
              <w:spacing w:after="0" w:line="240" w:lineRule="auto"/>
              <w:rPr>
                <w:rFonts w:cs="Calibri"/>
              </w:rPr>
            </w:pPr>
          </w:p>
        </w:tc>
      </w:tr>
      <w:tr w:rsidR="00466865"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Lectures:</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1</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15</w:t>
            </w:r>
          </w:p>
        </w:tc>
      </w:tr>
      <w:tr w:rsidR="00466865"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Exercises:</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0</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0</w:t>
            </w:r>
          </w:p>
        </w:tc>
      </w:tr>
      <w:tr w:rsidR="00466865" w:rsidTr="002E33D5">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Seminars:</w:t>
            </w:r>
          </w:p>
        </w:tc>
        <w:tc>
          <w:tcPr>
            <w:tcW w:w="3132"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1</w:t>
            </w:r>
          </w:p>
        </w:tc>
        <w:tc>
          <w:tcPr>
            <w:tcW w:w="3133" w:type="dxa"/>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15</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ECTS: 4</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Teaching language and level</w:t>
            </w:r>
            <w:r>
              <w:rPr>
                <w:rStyle w:val="FootnoteReference"/>
                <w:rFonts w:cs="Calibri"/>
              </w:rPr>
              <w:footnoteReference w:id="6"/>
            </w:r>
            <w:r>
              <w:rPr>
                <w:rFonts w:cs="Calibri"/>
              </w:rPr>
              <w:t xml:space="preserve">  for guest (exchange) students:</w:t>
            </w:r>
          </w:p>
          <w:p w:rsidR="00466865" w:rsidRDefault="00466865" w:rsidP="002E33D5">
            <w:pPr>
              <w:spacing w:after="0" w:line="240" w:lineRule="auto"/>
            </w:pPr>
            <w:r>
              <w:rPr>
                <w:rFonts w:cs="Calibri"/>
              </w:rPr>
              <w:t>Macedonian B1, English B1</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Teaching Methods</w:t>
            </w:r>
            <w:r>
              <w:rPr>
                <w:rStyle w:val="FootnoteReference"/>
                <w:rFonts w:cs="Calibri"/>
              </w:rPr>
              <w:footnoteReference w:id="7"/>
            </w:r>
            <w:r>
              <w:rPr>
                <w:rFonts w:cs="Calibri"/>
              </w:rPr>
              <w:t xml:space="preserve"> for guest (exchange) students:</w:t>
            </w:r>
          </w:p>
          <w:p w:rsidR="00466865" w:rsidRDefault="00466865" w:rsidP="002E33D5">
            <w:pPr>
              <w:spacing w:after="0" w:line="240" w:lineRule="auto"/>
            </w:pPr>
            <w:r>
              <w:rPr>
                <w:rFonts w:cs="Calibri"/>
              </w:rPr>
              <w:t>L1</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Evaluation Methods</w:t>
            </w:r>
            <w:r>
              <w:rPr>
                <w:rStyle w:val="FootnoteReference"/>
                <w:rFonts w:cs="Calibri"/>
              </w:rPr>
              <w:footnoteReference w:id="8"/>
            </w:r>
            <w:r>
              <w:rPr>
                <w:rFonts w:cs="Calibri"/>
              </w:rPr>
              <w:t xml:space="preserve"> and Grading</w:t>
            </w:r>
            <w:r>
              <w:rPr>
                <w:rStyle w:val="FootnoteReference"/>
                <w:rFonts w:cs="Calibri"/>
              </w:rPr>
              <w:footnoteReference w:id="9"/>
            </w:r>
            <w:r>
              <w:rPr>
                <w:rFonts w:cs="Calibri"/>
              </w:rPr>
              <w:t>:</w:t>
            </w:r>
          </w:p>
          <w:p w:rsidR="00466865" w:rsidRDefault="00466865" w:rsidP="002E33D5">
            <w:pPr>
              <w:spacing w:after="0" w:line="240" w:lineRule="auto"/>
            </w:pPr>
            <w:r>
              <w:rPr>
                <w:rFonts w:cs="Calibri"/>
              </w:rPr>
              <w:lastRenderedPageBreak/>
              <w:t>Class attendance, essay, oral exam</w:t>
            </w:r>
          </w:p>
          <w:p w:rsidR="00466865" w:rsidRDefault="00466865" w:rsidP="002E33D5">
            <w:pPr>
              <w:spacing w:after="0" w:line="240" w:lineRule="auto"/>
            </w:pPr>
            <w:r>
              <w:rPr>
                <w:rFonts w:cs="Calibri"/>
              </w:rPr>
              <w:t>Standard / institutional grading system</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lastRenderedPageBreak/>
              <w:t>Learning Outcomes:</w:t>
            </w:r>
          </w:p>
          <w:p w:rsidR="00466865" w:rsidRDefault="00466865" w:rsidP="002E33D5">
            <w:pPr>
              <w:spacing w:after="0" w:line="240" w:lineRule="auto"/>
            </w:pPr>
            <w:r>
              <w:rPr>
                <w:rFonts w:cs="Calibri"/>
              </w:rPr>
              <w:t>1. to describe the historical development of drama and theatre in South Slavic cultural environment;</w:t>
            </w:r>
          </w:p>
          <w:p w:rsidR="00466865" w:rsidRDefault="00466865" w:rsidP="002E33D5">
            <w:pPr>
              <w:spacing w:after="0" w:line="240" w:lineRule="auto"/>
            </w:pPr>
            <w:r>
              <w:rPr>
                <w:rFonts w:cs="Calibri"/>
              </w:rPr>
              <w:t>2. to name the most representative South Slavic playwrights and texts;</w:t>
            </w:r>
          </w:p>
          <w:p w:rsidR="00466865" w:rsidRDefault="00466865" w:rsidP="002E33D5">
            <w:pPr>
              <w:spacing w:after="0" w:line="240" w:lineRule="auto"/>
            </w:pPr>
            <w:r>
              <w:rPr>
                <w:rFonts w:cs="Calibri"/>
              </w:rPr>
              <w:t>3. to analyze selected plays;</w:t>
            </w:r>
          </w:p>
          <w:p w:rsidR="00466865" w:rsidRDefault="00466865" w:rsidP="002E33D5">
            <w:pPr>
              <w:spacing w:after="0" w:line="240" w:lineRule="auto"/>
            </w:pPr>
            <w:r>
              <w:rPr>
                <w:rFonts w:cs="Calibri"/>
              </w:rPr>
              <w:t>4. to recognize and compare similar phenomena in South Slavic literatures.</w:t>
            </w:r>
          </w:p>
        </w:tc>
      </w:tr>
      <w:tr w:rsidR="00466865" w:rsidTr="002E33D5">
        <w:tc>
          <w:tcPr>
            <w:tcW w:w="9397" w:type="dxa"/>
            <w:gridSpan w:val="3"/>
            <w:tcBorders>
              <w:top w:val="single" w:sz="4" w:space="0" w:color="00000A"/>
              <w:left w:val="single" w:sz="4" w:space="0" w:color="00000A"/>
              <w:bottom w:val="single" w:sz="4" w:space="0" w:color="00000A"/>
              <w:right w:val="single" w:sz="4" w:space="0" w:color="00000A"/>
            </w:tcBorders>
            <w:shd w:val="clear" w:color="auto" w:fill="auto"/>
          </w:tcPr>
          <w:p w:rsidR="00466865" w:rsidRDefault="00466865" w:rsidP="002E33D5">
            <w:pPr>
              <w:spacing w:after="0" w:line="240" w:lineRule="auto"/>
            </w:pPr>
            <w:r>
              <w:rPr>
                <w:rFonts w:cs="Calibri"/>
              </w:rPr>
              <w:t>Literature:</w:t>
            </w:r>
          </w:p>
          <w:p w:rsidR="00466865" w:rsidRDefault="00466865" w:rsidP="002E33D5">
            <w:pPr>
              <w:spacing w:after="0" w:line="240" w:lineRule="auto"/>
            </w:pPr>
            <w:r>
              <w:rPr>
                <w:rFonts w:cs="Calibri"/>
              </w:rPr>
              <w:t>1. Selected Bosnian, Bulgarian, Croatian, Macedonian, Montenegrian, Slovenian and Serbian plays available in English anc Croatian (or original language) – available online (Omega)</w:t>
            </w:r>
          </w:p>
          <w:p w:rsidR="00466865" w:rsidRDefault="00466865" w:rsidP="002E33D5">
            <w:pPr>
              <w:spacing w:after="0" w:line="240" w:lineRule="auto"/>
            </w:pPr>
            <w:r>
              <w:rPr>
                <w:rFonts w:cs="Calibri"/>
              </w:rPr>
              <w:t xml:space="preserve">2. Henrik Birnbaum, Thomas Eekman (ed), </w:t>
            </w:r>
            <w:r>
              <w:rPr>
                <w:rFonts w:cs="Calibri"/>
                <w:i/>
                <w:iCs/>
              </w:rPr>
              <w:t>Fiction and Drama in Eastern and Southeastern Europe : Evolution and Experiment in the Postwar Period</w:t>
            </w:r>
            <w:r>
              <w:rPr>
                <w:rFonts w:cs="Calibri"/>
              </w:rPr>
              <w:t>, Columbus: Slavica Publishers, 1980</w:t>
            </w:r>
          </w:p>
          <w:p w:rsidR="00466865" w:rsidRDefault="00466865" w:rsidP="002E33D5">
            <w:pPr>
              <w:spacing w:after="0" w:line="240" w:lineRule="auto"/>
            </w:pPr>
            <w:r>
              <w:rPr>
                <w:rFonts w:cs="Calibri"/>
              </w:rPr>
              <w:t xml:space="preserve">3. Jelena Lužina (ed), </w:t>
            </w:r>
            <w:r>
              <w:rPr>
                <w:rFonts w:cs="Calibri"/>
                <w:i/>
                <w:iCs/>
              </w:rPr>
              <w:t>Balcan Theatre Sphere</w:t>
            </w:r>
            <w:r>
              <w:rPr>
                <w:rFonts w:cs="Calibri"/>
              </w:rPr>
              <w:t>, Skopje: Faculty of Dramatic Arts, 2003.</w:t>
            </w:r>
          </w:p>
          <w:p w:rsidR="00466865" w:rsidRDefault="00466865" w:rsidP="002E33D5">
            <w:pPr>
              <w:spacing w:after="0" w:line="240" w:lineRule="auto"/>
            </w:pPr>
            <w:r>
              <w:rPr>
                <w:rFonts w:cs="Calibri"/>
              </w:rPr>
              <w:t xml:space="preserve">4. Jelena Lužina (ed), </w:t>
            </w:r>
            <w:r>
              <w:rPr>
                <w:rFonts w:cs="Calibri"/>
                <w:i/>
                <w:iCs/>
              </w:rPr>
              <w:t>Theatre and Identity</w:t>
            </w:r>
            <w:r>
              <w:rPr>
                <w:rFonts w:cs="Calibri"/>
              </w:rPr>
              <w:t>, Skopje: Faculty of Dramatic Arts, 2006.</w:t>
            </w:r>
          </w:p>
          <w:p w:rsidR="00466865" w:rsidRDefault="00466865" w:rsidP="002E33D5">
            <w:pPr>
              <w:spacing w:after="0" w:line="240" w:lineRule="auto"/>
            </w:pPr>
            <w:r>
              <w:rPr>
                <w:rFonts w:cs="Calibri"/>
              </w:rPr>
              <w:t xml:space="preserve">5. Patrice Pavis (ed), </w:t>
            </w:r>
            <w:r>
              <w:rPr>
                <w:rFonts w:cs="Calibri"/>
                <w:i/>
                <w:iCs/>
              </w:rPr>
              <w:t>The intercultural performance reader</w:t>
            </w:r>
            <w:r>
              <w:rPr>
                <w:rFonts w:cs="Calibri"/>
              </w:rPr>
              <w:t>, London – New York: Routledge, 2002.</w:t>
            </w:r>
          </w:p>
          <w:p w:rsidR="00466865" w:rsidRDefault="00466865" w:rsidP="002E33D5">
            <w:pPr>
              <w:spacing w:after="0" w:line="240" w:lineRule="auto"/>
            </w:pPr>
            <w:r>
              <w:rPr>
                <w:rFonts w:cs="Calibri"/>
              </w:rPr>
              <w:t xml:space="preserve">6. Patrice Pavis, </w:t>
            </w:r>
            <w:r>
              <w:rPr>
                <w:rFonts w:cs="Calibri"/>
                <w:i/>
                <w:iCs/>
              </w:rPr>
              <w:t>Analyzing Performance</w:t>
            </w:r>
            <w:r>
              <w:rPr>
                <w:rFonts w:cs="Calibri"/>
              </w:rPr>
              <w:t>, Ann Arbor: University of Michigan Press, 2003.</w:t>
            </w:r>
          </w:p>
        </w:tc>
      </w:tr>
    </w:tbl>
    <w:p w:rsidR="00D11153" w:rsidRDefault="00D11153"/>
    <w:sectPr w:rsidR="00D11153" w:rsidSect="00D1115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BC" w:rsidRDefault="00E94EBC" w:rsidP="00466865">
      <w:pPr>
        <w:spacing w:after="0" w:line="240" w:lineRule="auto"/>
      </w:pPr>
      <w:r>
        <w:separator/>
      </w:r>
    </w:p>
  </w:endnote>
  <w:endnote w:type="continuationSeparator" w:id="1">
    <w:p w:rsidR="00E94EBC" w:rsidRDefault="00E94EBC" w:rsidP="00466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ont420">
    <w:altName w:val="Times New Roman"/>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BC" w:rsidRDefault="00E94EBC" w:rsidP="00466865">
      <w:pPr>
        <w:spacing w:after="0" w:line="240" w:lineRule="auto"/>
      </w:pPr>
      <w:r>
        <w:separator/>
      </w:r>
    </w:p>
  </w:footnote>
  <w:footnote w:type="continuationSeparator" w:id="1">
    <w:p w:rsidR="00E94EBC" w:rsidRDefault="00E94EBC" w:rsidP="00466865">
      <w:pPr>
        <w:spacing w:after="0" w:line="240" w:lineRule="auto"/>
      </w:pPr>
      <w:r>
        <w:continuationSeparator/>
      </w:r>
    </w:p>
  </w:footnote>
  <w:footnote w:id="2">
    <w:p w:rsidR="00466865" w:rsidRDefault="00466865" w:rsidP="00466865">
      <w:pPr>
        <w:spacing w:after="0"/>
      </w:pPr>
      <w:r>
        <w:rPr>
          <w:rStyle w:val="FootnoteCharacters"/>
        </w:rPr>
        <w:footnoteRef/>
      </w:r>
      <w:r>
        <w:rPr>
          <w:sz w:val="20"/>
          <w:szCs w:val="20"/>
        </w:rPr>
        <w:t xml:space="preserve"> BA, MA, PhD; 2</w:t>
      </w:r>
      <w:r>
        <w:rPr>
          <w:sz w:val="20"/>
          <w:szCs w:val="20"/>
          <w:vertAlign w:val="superscript"/>
        </w:rPr>
        <w:t>nd</w:t>
      </w:r>
      <w:r>
        <w:rPr>
          <w:sz w:val="20"/>
          <w:szCs w:val="20"/>
        </w:rPr>
        <w:t xml:space="preserve"> year …</w:t>
      </w:r>
    </w:p>
  </w:footnote>
  <w:footnote w:id="3">
    <w:p w:rsidR="00466865" w:rsidRDefault="00466865" w:rsidP="00466865">
      <w:pPr>
        <w:spacing w:after="0"/>
      </w:pPr>
      <w:r>
        <w:rPr>
          <w:rStyle w:val="FootnoteCharacters"/>
        </w:rPr>
        <w:footnoteRef/>
      </w:r>
      <w:r>
        <w:t xml:space="preserve"> </w:t>
      </w:r>
      <w:r>
        <w:rPr>
          <w:sz w:val="20"/>
          <w:szCs w:val="20"/>
        </w:rPr>
        <w:t>Winter, Summer, Academic Year</w:t>
      </w:r>
    </w:p>
  </w:footnote>
  <w:footnote w:id="4">
    <w:p w:rsidR="00466865" w:rsidRDefault="00466865" w:rsidP="00466865">
      <w:pPr>
        <w:spacing w:after="0"/>
      </w:pPr>
      <w:r>
        <w:rPr>
          <w:rStyle w:val="FootnoteCharacters"/>
        </w:rPr>
        <w:footnoteRef/>
      </w:r>
      <w:r>
        <w:t xml:space="preserve"> </w:t>
      </w:r>
      <w:r>
        <w:t>Teaching language according to the regular programme (e.g. Croatian, French, Slovenian…)</w:t>
      </w:r>
    </w:p>
  </w:footnote>
  <w:footnote w:id="5">
    <w:p w:rsidR="00466865" w:rsidRDefault="00466865" w:rsidP="00466865">
      <w:pPr>
        <w:spacing w:after="0"/>
      </w:pPr>
      <w:r>
        <w:rPr>
          <w:rStyle w:val="FootnoteCharacters"/>
        </w:rPr>
        <w:footnoteRef/>
      </w:r>
      <w:r>
        <w:t xml:space="preserve"> </w:t>
      </w:r>
      <w:r>
        <w:t>Direct instructions: teaching through lectures/seminars/exercises and teacher-led demonstrations in the classroom; Presentations; Classroom discussion; E-Learning (Omega, etc.); Fieldwork; Other (specify)</w:t>
      </w:r>
    </w:p>
  </w:footnote>
  <w:footnote w:id="6">
    <w:p w:rsidR="00466865" w:rsidRDefault="00466865" w:rsidP="00466865">
      <w:pPr>
        <w:spacing w:after="0"/>
      </w:pPr>
      <w:r>
        <w:rPr>
          <w:rStyle w:val="FootnoteCharacters"/>
        </w:rPr>
        <w:footnoteRef/>
      </w:r>
      <w:r>
        <w:t xml:space="preserve"> </w:t>
      </w:r>
      <w:r>
        <w:t>According to CEFR (e.g. English B2, German C1…)</w:t>
      </w:r>
    </w:p>
  </w:footnote>
  <w:footnote w:id="7">
    <w:p w:rsidR="00466865" w:rsidRDefault="00466865" w:rsidP="00466865">
      <w:pPr>
        <w:spacing w:after="0"/>
      </w:pPr>
      <w:r>
        <w:rPr>
          <w:rStyle w:val="FootnoteCharacters"/>
        </w:rPr>
        <w:footnoteRef/>
      </w:r>
      <w:r>
        <w:rPr>
          <w:b/>
        </w:rPr>
        <w:t xml:space="preserve"> </w:t>
      </w:r>
      <w:r>
        <w:rPr>
          <w:b/>
        </w:rPr>
        <w:t>Language options for guest (exchange) students):</w:t>
      </w:r>
      <w:r>
        <w:rPr>
          <w:b/>
        </w:rPr>
        <w:t xml:space="preserve"> </w:t>
      </w:r>
      <w:r>
        <w:t>L1 - All teaching activities will be held in regular teaching language. However, guest (exchange) students will have the opportunity to attend additional consultations with the lecturer and teaching assistants in foreign language (indicated as teaching language for guest (exchange) students), to help master the course materials. Additionally, the lecturer will refer guest (exchange) students to the corresponding literature in foreign language, as well as give them the possibility of taking the associated exams in foreign language.</w:t>
      </w:r>
      <w:r>
        <w:t xml:space="preserve"> </w:t>
      </w:r>
      <w:r>
        <w:t>L2 - All teaching activities will be held in regular teaching language only.</w:t>
      </w:r>
    </w:p>
  </w:footnote>
  <w:footnote w:id="8">
    <w:p w:rsidR="00466865" w:rsidRDefault="00466865" w:rsidP="00466865">
      <w:pPr>
        <w:spacing w:after="0"/>
      </w:pPr>
      <w:r>
        <w:rPr>
          <w:rStyle w:val="FootnoteCharacters"/>
        </w:rPr>
        <w:footnoteRef/>
      </w:r>
      <w:r>
        <w:t xml:space="preserve"> </w:t>
      </w:r>
      <w:r>
        <w:rPr>
          <w:sz w:val="20"/>
          <w:szCs w:val="20"/>
        </w:rPr>
        <w:t>Class attendance, Essay, Preliminary exam, Seminar paper, Practical work, Written exam, Oral Exam, Other (specify)</w:t>
      </w:r>
    </w:p>
  </w:footnote>
  <w:footnote w:id="9">
    <w:p w:rsidR="00466865" w:rsidRDefault="00466865" w:rsidP="00466865">
      <w:pPr>
        <w:spacing w:after="0"/>
      </w:pPr>
      <w:r>
        <w:rPr>
          <w:rStyle w:val="FootnoteCharacters"/>
        </w:rPr>
        <w:footnoteRef/>
      </w:r>
      <w:r>
        <w:t xml:space="preserve"> </w:t>
      </w:r>
      <w:r>
        <w:rPr>
          <w:sz w:val="20"/>
          <w:szCs w:val="20"/>
        </w:rPr>
        <w:t>Standard - the institutional grading system (5 Excellent; 4 Very good; 3 Good; 2 Sufficient; 1 Fail)</w:t>
      </w:r>
      <w:r>
        <w:t xml:space="preserve"> </w:t>
      </w:r>
      <w:r>
        <w:rPr>
          <w:sz w:val="20"/>
          <w:szCs w:val="20"/>
        </w:rPr>
        <w:t xml:space="preserve">Additional: </w:t>
      </w:r>
      <w:r>
        <w:rPr>
          <w:sz w:val="20"/>
          <w:szCs w:val="20"/>
        </w:rPr>
        <w:t>RA - Regular Attendance (No ECTS credits awarded for course attendance only)</w:t>
      </w:r>
      <w:r>
        <w:t xml:space="preserve"> </w:t>
      </w:r>
      <w:r>
        <w:rPr>
          <w:sz w:val="20"/>
          <w:szCs w:val="20"/>
        </w:rPr>
        <w:t>C - Completed (Student has completed proscribed obligations/no ECTS credits awarded)</w:t>
      </w:r>
      <w:r>
        <w:t xml:space="preserve"> </w:t>
      </w:r>
      <w:r>
        <w:rPr>
          <w:sz w:val="20"/>
          <w:szCs w:val="20"/>
        </w:rPr>
        <w:t>C+ – Completed + ECTS (Student has completed proscribed obligations + ECTS credits awarded)</w:t>
      </w:r>
    </w:p>
    <w:p w:rsidR="00466865" w:rsidRDefault="00466865" w:rsidP="00466865">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6865"/>
    <w:rsid w:val="00466865"/>
    <w:rsid w:val="00D11153"/>
    <w:rsid w:val="00E94E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865"/>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466865"/>
    <w:rPr>
      <w:vertAlign w:val="superscript"/>
    </w:rPr>
  </w:style>
  <w:style w:type="character" w:customStyle="1" w:styleId="FootnoteCharacters">
    <w:name w:val="Footnote Characters"/>
    <w:rsid w:val="00466865"/>
  </w:style>
  <w:style w:type="character" w:customStyle="1" w:styleId="footnotereference0">
    <w:name w:val="footnote reference"/>
    <w:rsid w:val="00466865"/>
    <w:rPr>
      <w:vertAlign w:val="superscript"/>
    </w:rPr>
  </w:style>
  <w:style w:type="paragraph" w:customStyle="1" w:styleId="footnotetext">
    <w:name w:val="footnote text"/>
    <w:basedOn w:val="Normal"/>
    <w:rsid w:val="00466865"/>
    <w:pPr>
      <w:suppressAutoHyphens/>
      <w:spacing w:after="0" w:line="240" w:lineRule="auto"/>
    </w:pPr>
    <w:rPr>
      <w:rFonts w:cs="font42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Hewlett-Packard Company</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1</cp:revision>
  <dcterms:created xsi:type="dcterms:W3CDTF">2019-05-07T04:01:00Z</dcterms:created>
  <dcterms:modified xsi:type="dcterms:W3CDTF">2019-05-07T04:02:00Z</dcterms:modified>
</cp:coreProperties>
</file>