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655BC2BF"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3BFF661A" w:rsidR="004E1750" w:rsidRPr="00E87B86" w:rsidRDefault="004E1750" w:rsidP="00CA20E4">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4E1750" w:rsidRPr="00E87B86" w14:paraId="25A24984" w14:textId="77777777" w:rsidTr="00171E21">
        <w:tc>
          <w:tcPr>
            <w:tcW w:w="9396" w:type="dxa"/>
            <w:gridSpan w:val="3"/>
          </w:tcPr>
          <w:p w14:paraId="03E93BA8" w14:textId="6B536556"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CA20E4">
              <w:rPr>
                <w:rFonts w:cstheme="minorHAnsi"/>
                <w:color w:val="FF0000"/>
              </w:rPr>
              <w:t>BA, 3</w:t>
            </w:r>
            <w:r w:rsidR="00CA20E4">
              <w:rPr>
                <w:rFonts w:cstheme="minorHAnsi"/>
                <w:color w:val="FF0000"/>
                <w:vertAlign w:val="superscript"/>
              </w:rPr>
              <w:t>rd</w:t>
            </w:r>
            <w:r w:rsidR="00CA20E4">
              <w:rPr>
                <w:rFonts w:cstheme="minorHAnsi"/>
                <w:color w:val="FF0000"/>
              </w:rPr>
              <w:t xml:space="preserve"> year</w:t>
            </w:r>
          </w:p>
        </w:tc>
      </w:tr>
      <w:tr w:rsidR="004E1750" w:rsidRPr="00E87B86" w14:paraId="78C348EA" w14:textId="77777777" w:rsidTr="00171E21">
        <w:tc>
          <w:tcPr>
            <w:tcW w:w="9396" w:type="dxa"/>
            <w:gridSpan w:val="3"/>
          </w:tcPr>
          <w:p w14:paraId="5DEB0A3E" w14:textId="77777777" w:rsidR="004E1750" w:rsidRPr="00E87B86" w:rsidRDefault="004E1750" w:rsidP="00171E21">
            <w:pPr>
              <w:rPr>
                <w:rFonts w:cstheme="minorHAnsi"/>
              </w:rPr>
            </w:pPr>
            <w:r w:rsidRPr="00E87B86">
              <w:rPr>
                <w:rFonts w:cstheme="minorHAnsi"/>
              </w:rPr>
              <w:t>Course Title:</w:t>
            </w:r>
          </w:p>
          <w:p w14:paraId="1CF4DCB2" w14:textId="5B3B9AD1" w:rsidR="004E1750" w:rsidRPr="00E87B86" w:rsidRDefault="00D41F3F" w:rsidP="00171E21">
            <w:pPr>
              <w:jc w:val="center"/>
              <w:rPr>
                <w:rFonts w:cstheme="minorHAnsi"/>
                <w:b/>
                <w:bCs/>
              </w:rPr>
            </w:pPr>
            <w:bookmarkStart w:id="0" w:name="_GoBack"/>
            <w:r w:rsidRPr="00D41F3F">
              <w:rPr>
                <w:rFonts w:cstheme="minorHAnsi"/>
                <w:b/>
                <w:bCs/>
                <w:color w:val="333333"/>
                <w:shd w:val="clear" w:color="auto" w:fill="FFFFFF"/>
              </w:rPr>
              <w:t>French Lexicology and Lexicography</w:t>
            </w:r>
            <w:bookmarkEnd w:id="0"/>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1D510A81" w14:textId="77777777" w:rsidR="004E1750" w:rsidRDefault="00D41F3F" w:rsidP="00171E21">
            <w:pPr>
              <w:rPr>
                <w:rFonts w:cstheme="minorHAnsi"/>
                <w:shd w:val="clear" w:color="auto" w:fill="FFFFFF"/>
              </w:rPr>
            </w:pPr>
            <w:proofErr w:type="spellStart"/>
            <w:r w:rsidRPr="00D41F3F">
              <w:rPr>
                <w:rFonts w:cstheme="minorHAnsi"/>
                <w:shd w:val="clear" w:color="auto" w:fill="FFFFFF"/>
              </w:rPr>
              <w:t>Familiarise</w:t>
            </w:r>
            <w:proofErr w:type="spellEnd"/>
            <w:r w:rsidRPr="00D41F3F">
              <w:rPr>
                <w:rFonts w:cstheme="minorHAnsi"/>
                <w:shd w:val="clear" w:color="auto" w:fill="FFFFFF"/>
              </w:rPr>
              <w:t xml:space="preserve"> the students with the basic concepts of French lexicology, mechanisms of lexical formation, </w:t>
            </w:r>
            <w:proofErr w:type="spellStart"/>
            <w:r w:rsidRPr="00D41F3F">
              <w:rPr>
                <w:rFonts w:cstheme="minorHAnsi"/>
                <w:shd w:val="clear" w:color="auto" w:fill="FFFFFF"/>
              </w:rPr>
              <w:t>organisation</w:t>
            </w:r>
            <w:proofErr w:type="spellEnd"/>
            <w:r w:rsidRPr="00D41F3F">
              <w:rPr>
                <w:rFonts w:cstheme="minorHAnsi"/>
                <w:shd w:val="clear" w:color="auto" w:fill="FFFFFF"/>
              </w:rPr>
              <w:t xml:space="preserve"> of the French lexical corpus. </w:t>
            </w:r>
            <w:proofErr w:type="spellStart"/>
            <w:r w:rsidRPr="00D41F3F">
              <w:rPr>
                <w:rFonts w:cstheme="minorHAnsi"/>
                <w:shd w:val="clear" w:color="auto" w:fill="FFFFFF"/>
              </w:rPr>
              <w:t>Familiarise</w:t>
            </w:r>
            <w:proofErr w:type="spellEnd"/>
            <w:r w:rsidRPr="00D41F3F">
              <w:rPr>
                <w:rFonts w:cstheme="minorHAnsi"/>
                <w:shd w:val="clear" w:color="auto" w:fill="FFFFFF"/>
              </w:rPr>
              <w:t xml:space="preserve"> the students with theoretical approaches and models of lexicographic treatment, </w:t>
            </w:r>
            <w:proofErr w:type="spellStart"/>
            <w:r w:rsidRPr="00D41F3F">
              <w:rPr>
                <w:rFonts w:cstheme="minorHAnsi"/>
                <w:shd w:val="clear" w:color="auto" w:fill="FFFFFF"/>
              </w:rPr>
              <w:t>emphasise</w:t>
            </w:r>
            <w:proofErr w:type="spellEnd"/>
            <w:r w:rsidRPr="00D41F3F">
              <w:rPr>
                <w:rFonts w:cstheme="minorHAnsi"/>
                <w:shd w:val="clear" w:color="auto" w:fill="FFFFFF"/>
              </w:rPr>
              <w:t xml:space="preserve"> the significance of a systematic presentation and treatment of lexical material from the general linguistic, sociolinguistic (normative), pragmatic and cultural perspective.</w:t>
            </w:r>
          </w:p>
          <w:p w14:paraId="088236BA" w14:textId="3E7EB0CA" w:rsidR="00D41F3F" w:rsidRPr="00E87B86" w:rsidRDefault="00D41F3F" w:rsidP="00171E21">
            <w:pPr>
              <w:rPr>
                <w:rFonts w:cstheme="minorHAnsi"/>
              </w:rPr>
            </w:pPr>
          </w:p>
        </w:tc>
      </w:tr>
      <w:tr w:rsidR="004E1750" w:rsidRPr="00E87B86" w14:paraId="5A74A6A7" w14:textId="77777777" w:rsidTr="00171E21">
        <w:tc>
          <w:tcPr>
            <w:tcW w:w="9396" w:type="dxa"/>
            <w:gridSpan w:val="3"/>
          </w:tcPr>
          <w:p w14:paraId="182B915F" w14:textId="442DEEC6" w:rsidR="004E1750" w:rsidRPr="00E87B86" w:rsidRDefault="004E1750" w:rsidP="00CA20E4">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t>
            </w:r>
            <w:r w:rsidR="00CA20E4">
              <w:rPr>
                <w:rFonts w:cstheme="minorHAnsi"/>
                <w:color w:val="FF0000"/>
              </w:rPr>
              <w:t>summer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4BEC3611" w14:textId="77777777" w:rsidR="00D41F3F" w:rsidRPr="00D41F3F" w:rsidRDefault="00D41F3F" w:rsidP="00D41F3F">
            <w:pPr>
              <w:rPr>
                <w:rFonts w:cstheme="minorHAnsi"/>
                <w:shd w:val="clear" w:color="auto" w:fill="FFFFFF"/>
              </w:rPr>
            </w:pPr>
            <w:r w:rsidRPr="00D41F3F">
              <w:rPr>
                <w:rFonts w:cstheme="minorHAnsi"/>
                <w:shd w:val="clear" w:color="auto" w:fill="FFFFFF"/>
              </w:rPr>
              <w:t xml:space="preserve">Ivana </w:t>
            </w:r>
            <w:proofErr w:type="spellStart"/>
            <w:r w:rsidRPr="00D41F3F">
              <w:rPr>
                <w:rFonts w:cstheme="minorHAnsi"/>
                <w:shd w:val="clear" w:color="auto" w:fill="FFFFFF"/>
              </w:rPr>
              <w:t>Franić</w:t>
            </w:r>
            <w:proofErr w:type="spellEnd"/>
            <w:r w:rsidRPr="00D41F3F">
              <w:rPr>
                <w:rFonts w:cstheme="minorHAnsi"/>
                <w:shd w:val="clear" w:color="auto" w:fill="FFFFFF"/>
              </w:rPr>
              <w:t>, PhD, Full Professor (primary)</w:t>
            </w:r>
          </w:p>
          <w:p w14:paraId="1688F46B" w14:textId="3FE3104E" w:rsidR="004E1750" w:rsidRPr="00E87B86" w:rsidRDefault="00D41F3F" w:rsidP="00D41F3F">
            <w:pPr>
              <w:rPr>
                <w:rFonts w:cstheme="minorHAnsi"/>
              </w:rPr>
            </w:pPr>
            <w:proofErr w:type="spellStart"/>
            <w:r w:rsidRPr="00D41F3F">
              <w:rPr>
                <w:rFonts w:cstheme="minorHAnsi"/>
                <w:shd w:val="clear" w:color="auto" w:fill="FFFFFF"/>
              </w:rPr>
              <w:t>Sanja</w:t>
            </w:r>
            <w:proofErr w:type="spellEnd"/>
            <w:r w:rsidRPr="00D41F3F">
              <w:rPr>
                <w:rFonts w:cstheme="minorHAnsi"/>
                <w:shd w:val="clear" w:color="auto" w:fill="FFFFFF"/>
              </w:rPr>
              <w:t xml:space="preserve"> </w:t>
            </w:r>
            <w:proofErr w:type="spellStart"/>
            <w:r w:rsidRPr="00D41F3F">
              <w:rPr>
                <w:rFonts w:cstheme="minorHAnsi"/>
                <w:shd w:val="clear" w:color="auto" w:fill="FFFFFF"/>
              </w:rPr>
              <w:t>Šoštarić</w:t>
            </w:r>
            <w:proofErr w:type="spellEnd"/>
            <w:r w:rsidRPr="00D41F3F">
              <w:rPr>
                <w:rFonts w:cstheme="minorHAnsi"/>
                <w:shd w:val="clear" w:color="auto" w:fill="FFFFFF"/>
              </w:rPr>
              <w:t>, PhD, Senior Lector</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074515BC" w14:textId="77777777" w:rsidR="00171E21" w:rsidRDefault="00D41F3F" w:rsidP="00D41F3F">
            <w:pPr>
              <w:rPr>
                <w:rFonts w:cstheme="minorHAnsi"/>
              </w:rPr>
            </w:pPr>
            <w:r w:rsidRPr="00D41F3F">
              <w:rPr>
                <w:rFonts w:cstheme="minorHAnsi"/>
              </w:rPr>
              <w:t>Direct teaching</w:t>
            </w:r>
            <w:r>
              <w:rPr>
                <w:rFonts w:cstheme="minorHAnsi"/>
              </w:rPr>
              <w:t>, t</w:t>
            </w:r>
            <w:r w:rsidRPr="00D41F3F">
              <w:rPr>
                <w:rFonts w:cstheme="minorHAnsi"/>
              </w:rPr>
              <w:t>eaching by guided discovery and discussion</w:t>
            </w:r>
            <w:r>
              <w:rPr>
                <w:rFonts w:cstheme="minorHAnsi"/>
              </w:rPr>
              <w:t>, a</w:t>
            </w:r>
            <w:r w:rsidRPr="00D41F3F">
              <w:rPr>
                <w:rFonts w:cstheme="minorHAnsi"/>
              </w:rPr>
              <w:t>utonomous work</w:t>
            </w:r>
            <w:r>
              <w:rPr>
                <w:rFonts w:cstheme="minorHAnsi"/>
              </w:rPr>
              <w:t>.</w:t>
            </w:r>
          </w:p>
          <w:p w14:paraId="339BC389" w14:textId="7736AAD8" w:rsidR="00D41F3F" w:rsidRPr="00E87B86" w:rsidRDefault="00D41F3F" w:rsidP="00D41F3F">
            <w:pPr>
              <w:rPr>
                <w:rFonts w:cstheme="minorHAnsi"/>
              </w:rPr>
            </w:pP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38E33947" w:rsidR="004E1750" w:rsidRPr="00E87B86" w:rsidRDefault="00D41F3F" w:rsidP="00171E21">
            <w:pPr>
              <w:rPr>
                <w:rFonts w:cstheme="minorHAnsi"/>
              </w:rPr>
            </w:pPr>
            <w:r>
              <w:rPr>
                <w:rFonts w:cstheme="minorHAnsi"/>
              </w:rPr>
              <w:t>45 min</w:t>
            </w:r>
          </w:p>
        </w:tc>
        <w:tc>
          <w:tcPr>
            <w:tcW w:w="3132" w:type="dxa"/>
          </w:tcPr>
          <w:p w14:paraId="3AD1E614" w14:textId="61D7851F" w:rsidR="004E1750" w:rsidRPr="00E87B86" w:rsidRDefault="00D41F3F" w:rsidP="00171E21">
            <w:pPr>
              <w:rPr>
                <w:rFonts w:cstheme="minorHAnsi"/>
              </w:rPr>
            </w:pPr>
            <w:r>
              <w:rPr>
                <w:rFonts w:cstheme="minorHAnsi"/>
              </w:rPr>
              <w:t>15</w:t>
            </w: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77777777" w:rsidR="004E1750" w:rsidRPr="00E87B86" w:rsidRDefault="004E1750" w:rsidP="00171E21">
            <w:pPr>
              <w:rPr>
                <w:rFonts w:cstheme="minorHAnsi"/>
              </w:rPr>
            </w:pPr>
          </w:p>
        </w:tc>
        <w:tc>
          <w:tcPr>
            <w:tcW w:w="3132" w:type="dxa"/>
          </w:tcPr>
          <w:p w14:paraId="190276AB" w14:textId="77777777" w:rsidR="004E1750" w:rsidRPr="00E87B86" w:rsidRDefault="004E1750" w:rsidP="00171E21">
            <w:pPr>
              <w:rPr>
                <w:rFonts w:cstheme="minorHAnsi"/>
              </w:rPr>
            </w:pP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68D4C17B" w:rsidR="004E1750" w:rsidRPr="00E87B86" w:rsidRDefault="00D41F3F" w:rsidP="00171E21">
            <w:pPr>
              <w:rPr>
                <w:rFonts w:cstheme="minorHAnsi"/>
              </w:rPr>
            </w:pPr>
            <w:r>
              <w:rPr>
                <w:rFonts w:cstheme="minorHAnsi"/>
              </w:rPr>
              <w:t>45</w:t>
            </w:r>
            <w:r w:rsidR="004E1750">
              <w:rPr>
                <w:rFonts w:cstheme="minorHAnsi"/>
              </w:rPr>
              <w:t xml:space="preserve"> min</w:t>
            </w:r>
          </w:p>
        </w:tc>
        <w:tc>
          <w:tcPr>
            <w:tcW w:w="3132" w:type="dxa"/>
          </w:tcPr>
          <w:p w14:paraId="512B8700" w14:textId="59B4795D" w:rsidR="004E1750" w:rsidRPr="00E87B86" w:rsidRDefault="00D41F3F" w:rsidP="00171E21">
            <w:pPr>
              <w:rPr>
                <w:rFonts w:cstheme="minorHAnsi"/>
              </w:rPr>
            </w:pPr>
            <w:r>
              <w:rPr>
                <w:rFonts w:cstheme="minorHAnsi"/>
              </w:rPr>
              <w:t>15</w:t>
            </w:r>
          </w:p>
        </w:tc>
      </w:tr>
      <w:tr w:rsidR="004E1750" w:rsidRPr="00E87B86" w14:paraId="7F581D70" w14:textId="77777777" w:rsidTr="00171E21">
        <w:tc>
          <w:tcPr>
            <w:tcW w:w="9396" w:type="dxa"/>
            <w:gridSpan w:val="3"/>
          </w:tcPr>
          <w:p w14:paraId="6C61CF3C" w14:textId="77777777" w:rsidR="004E1750" w:rsidRPr="00E87B86" w:rsidRDefault="004E1750" w:rsidP="00171E21">
            <w:pPr>
              <w:rPr>
                <w:rFonts w:cstheme="minorHAnsi"/>
              </w:rPr>
            </w:pPr>
            <w:r w:rsidRPr="00E87B86">
              <w:rPr>
                <w:rFonts w:cstheme="minorHAnsi"/>
              </w:rPr>
              <w:t>ECTS: 3</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77777777" w:rsidR="004E1750" w:rsidRPr="00E87B86" w:rsidRDefault="004E1750" w:rsidP="00171E21">
            <w:pPr>
              <w:rPr>
                <w:rFonts w:cstheme="minorHAnsi"/>
              </w:rPr>
            </w:pPr>
            <w:r w:rsidRPr="00E87B86">
              <w:rPr>
                <w:rFonts w:cstheme="minorHAnsi"/>
              </w:rPr>
              <w:t>French C1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66A52CF9" w14:textId="77777777" w:rsidR="004E1750" w:rsidRDefault="00D41F3F" w:rsidP="00171E21">
            <w:pPr>
              <w:rPr>
                <w:rFonts w:cstheme="minorHAnsi"/>
              </w:rPr>
            </w:pPr>
            <w:r w:rsidRPr="00D41F3F">
              <w:rPr>
                <w:rFonts w:cstheme="minorHAnsi"/>
              </w:rPr>
              <w:t>Students’ success will be evaluated on the basis of the seminar paper and written exam.</w:t>
            </w:r>
          </w:p>
          <w:p w14:paraId="7481E31F" w14:textId="230A8BE2" w:rsidR="00D41F3F" w:rsidRPr="00E87B86" w:rsidRDefault="00D41F3F" w:rsidP="00171E21">
            <w:pPr>
              <w:rPr>
                <w:rFonts w:cstheme="minorHAnsi"/>
              </w:rPr>
            </w:pPr>
          </w:p>
        </w:tc>
      </w:tr>
      <w:tr w:rsidR="004E1750" w:rsidRPr="00E87B86" w14:paraId="4691DD8B" w14:textId="77777777" w:rsidTr="00171E21">
        <w:tc>
          <w:tcPr>
            <w:tcW w:w="9396" w:type="dxa"/>
            <w:gridSpan w:val="3"/>
          </w:tcPr>
          <w:p w14:paraId="1E702945" w14:textId="77777777" w:rsidR="004E1750" w:rsidRPr="004E1750" w:rsidRDefault="004E1750" w:rsidP="004E1750">
            <w:pPr>
              <w:shd w:val="clear" w:color="auto" w:fill="FFFFFF"/>
              <w:spacing w:before="100" w:beforeAutospacing="1" w:after="100" w:afterAutospacing="1"/>
              <w:rPr>
                <w:rFonts w:cstheme="minorHAnsi"/>
              </w:rPr>
            </w:pPr>
            <w:r w:rsidRPr="004E1750">
              <w:rPr>
                <w:rFonts w:cstheme="minorHAnsi"/>
              </w:rPr>
              <w:lastRenderedPageBreak/>
              <w:t>Learning outcomes</w:t>
            </w:r>
          </w:p>
          <w:p w14:paraId="36FCE6C8" w14:textId="77777777" w:rsidR="00D41F3F" w:rsidRPr="00D41F3F" w:rsidRDefault="00D41F3F" w:rsidP="00D41F3F">
            <w:pPr>
              <w:pStyle w:val="ListParagraph"/>
              <w:numPr>
                <w:ilvl w:val="0"/>
                <w:numId w:val="5"/>
              </w:numPr>
              <w:shd w:val="clear" w:color="auto" w:fill="FFFFFF"/>
              <w:spacing w:before="100" w:beforeAutospacing="1" w:after="100" w:afterAutospacing="1"/>
              <w:rPr>
                <w:rFonts w:cstheme="minorHAnsi"/>
              </w:rPr>
            </w:pPr>
            <w:r w:rsidRPr="00D41F3F">
              <w:rPr>
                <w:rFonts w:cstheme="minorHAnsi"/>
              </w:rPr>
              <w:t>Recognize and classify specificities of the French lexis</w:t>
            </w:r>
          </w:p>
          <w:p w14:paraId="1F2E4C1E" w14:textId="77777777" w:rsidR="00D41F3F" w:rsidRPr="00D41F3F" w:rsidRDefault="00D41F3F" w:rsidP="00D41F3F">
            <w:pPr>
              <w:pStyle w:val="ListParagraph"/>
              <w:numPr>
                <w:ilvl w:val="0"/>
                <w:numId w:val="5"/>
              </w:numPr>
              <w:shd w:val="clear" w:color="auto" w:fill="FFFFFF"/>
              <w:spacing w:before="100" w:beforeAutospacing="1" w:after="100" w:afterAutospacing="1"/>
              <w:rPr>
                <w:rFonts w:cstheme="minorHAnsi"/>
              </w:rPr>
            </w:pPr>
            <w:r w:rsidRPr="00D41F3F">
              <w:rPr>
                <w:rFonts w:cstheme="minorHAnsi"/>
              </w:rPr>
              <w:t>Explain and use the basic linguistic apparatus at the level of French and apply it in the analysis of the French lexical corpus</w:t>
            </w:r>
          </w:p>
          <w:p w14:paraId="4E2ADCFC" w14:textId="77777777" w:rsidR="00D41F3F" w:rsidRPr="00D41F3F" w:rsidRDefault="00D41F3F" w:rsidP="00D41F3F">
            <w:pPr>
              <w:pStyle w:val="ListParagraph"/>
              <w:numPr>
                <w:ilvl w:val="0"/>
                <w:numId w:val="5"/>
              </w:numPr>
              <w:shd w:val="clear" w:color="auto" w:fill="FFFFFF"/>
              <w:spacing w:before="100" w:beforeAutospacing="1" w:after="100" w:afterAutospacing="1"/>
              <w:rPr>
                <w:rFonts w:cstheme="minorHAnsi"/>
              </w:rPr>
            </w:pPr>
            <w:r w:rsidRPr="00D41F3F">
              <w:rPr>
                <w:rFonts w:cstheme="minorHAnsi"/>
              </w:rPr>
              <w:t xml:space="preserve">Autonomously research, </w:t>
            </w:r>
            <w:proofErr w:type="spellStart"/>
            <w:r w:rsidRPr="00D41F3F">
              <w:rPr>
                <w:rFonts w:cstheme="minorHAnsi"/>
              </w:rPr>
              <w:t>categorise</w:t>
            </w:r>
            <w:proofErr w:type="spellEnd"/>
            <w:r w:rsidRPr="00D41F3F">
              <w:rPr>
                <w:rFonts w:cstheme="minorHAnsi"/>
              </w:rPr>
              <w:t xml:space="preserve"> and comment on the French lexical corpus and its elements and compare the elements</w:t>
            </w:r>
          </w:p>
          <w:p w14:paraId="5D6C9154" w14:textId="77777777" w:rsidR="00D41F3F" w:rsidRPr="00D41F3F" w:rsidRDefault="00D41F3F" w:rsidP="00D41F3F">
            <w:pPr>
              <w:pStyle w:val="ListParagraph"/>
              <w:numPr>
                <w:ilvl w:val="0"/>
                <w:numId w:val="5"/>
              </w:numPr>
              <w:shd w:val="clear" w:color="auto" w:fill="FFFFFF"/>
              <w:spacing w:before="100" w:beforeAutospacing="1" w:after="100" w:afterAutospacing="1"/>
              <w:rPr>
                <w:rFonts w:cstheme="minorHAnsi"/>
              </w:rPr>
            </w:pPr>
            <w:r w:rsidRPr="00D41F3F">
              <w:rPr>
                <w:rFonts w:cstheme="minorHAnsi"/>
              </w:rPr>
              <w:t xml:space="preserve">Within the framework of the designated traditional and contemporary methods of lexicographic treatment, collect, </w:t>
            </w:r>
            <w:proofErr w:type="spellStart"/>
            <w:r w:rsidRPr="00D41F3F">
              <w:rPr>
                <w:rFonts w:cstheme="minorHAnsi"/>
              </w:rPr>
              <w:t>organise</w:t>
            </w:r>
            <w:proofErr w:type="spellEnd"/>
            <w:r w:rsidRPr="00D41F3F">
              <w:rPr>
                <w:rFonts w:cstheme="minorHAnsi"/>
              </w:rPr>
              <w:t xml:space="preserve"> and describe a number of lexical units autonomously</w:t>
            </w:r>
          </w:p>
          <w:p w14:paraId="29101EEE" w14:textId="77777777" w:rsidR="00D41F3F" w:rsidRPr="00D41F3F" w:rsidRDefault="00D41F3F" w:rsidP="00D41F3F">
            <w:pPr>
              <w:pStyle w:val="ListParagraph"/>
              <w:numPr>
                <w:ilvl w:val="0"/>
                <w:numId w:val="5"/>
              </w:numPr>
              <w:shd w:val="clear" w:color="auto" w:fill="FFFFFF"/>
              <w:spacing w:before="100" w:beforeAutospacing="1" w:after="100" w:afterAutospacing="1"/>
              <w:rPr>
                <w:rFonts w:cstheme="minorHAnsi"/>
              </w:rPr>
            </w:pPr>
            <w:r w:rsidRPr="00D41F3F">
              <w:rPr>
                <w:rFonts w:cstheme="minorHAnsi"/>
              </w:rPr>
              <w:t>Create original oral or written text in French according to set principles or autonomously using vocabulary from different fields of life, culture, science, and technology</w:t>
            </w:r>
          </w:p>
          <w:p w14:paraId="6A7F5B03" w14:textId="77777777" w:rsidR="00D41F3F" w:rsidRPr="00D41F3F" w:rsidRDefault="00D41F3F" w:rsidP="00D41F3F">
            <w:pPr>
              <w:pStyle w:val="ListParagraph"/>
              <w:numPr>
                <w:ilvl w:val="0"/>
                <w:numId w:val="5"/>
              </w:numPr>
              <w:shd w:val="clear" w:color="auto" w:fill="FFFFFF"/>
              <w:spacing w:before="100" w:beforeAutospacing="1" w:after="100" w:afterAutospacing="1"/>
              <w:rPr>
                <w:rFonts w:cstheme="minorHAnsi"/>
              </w:rPr>
            </w:pPr>
            <w:r w:rsidRPr="00D41F3F">
              <w:rPr>
                <w:rFonts w:cstheme="minorHAnsi"/>
              </w:rPr>
              <w:t xml:space="preserve">Explain and apply the basic linguistic methodology and terminology in the synchronous and </w:t>
            </w:r>
            <w:proofErr w:type="spellStart"/>
            <w:r w:rsidRPr="00D41F3F">
              <w:rPr>
                <w:rFonts w:cstheme="minorHAnsi"/>
              </w:rPr>
              <w:t>diachronous</w:t>
            </w:r>
            <w:proofErr w:type="spellEnd"/>
            <w:r w:rsidRPr="00D41F3F">
              <w:rPr>
                <w:rFonts w:cstheme="minorHAnsi"/>
              </w:rPr>
              <w:t xml:space="preserve"> study of language, apply it in the analysis of phonetics, phonology, morphology and syntax, semantics and pragmatics of French</w:t>
            </w:r>
          </w:p>
          <w:p w14:paraId="2B390C19" w14:textId="32D37807" w:rsidR="004E1750" w:rsidRPr="004E1750" w:rsidRDefault="00D41F3F" w:rsidP="00D41F3F">
            <w:pPr>
              <w:pStyle w:val="ListParagraph"/>
              <w:numPr>
                <w:ilvl w:val="0"/>
                <w:numId w:val="5"/>
              </w:numPr>
              <w:shd w:val="clear" w:color="auto" w:fill="FFFFFF"/>
              <w:spacing w:before="100" w:beforeAutospacing="1" w:after="100" w:afterAutospacing="1"/>
              <w:rPr>
                <w:rFonts w:cstheme="minorHAnsi"/>
              </w:rPr>
            </w:pPr>
            <w:r w:rsidRPr="00D41F3F">
              <w:rPr>
                <w:rFonts w:cstheme="minorHAnsi"/>
              </w:rPr>
              <w:t xml:space="preserve">Notice important elements in an unknown text, interpret and </w:t>
            </w:r>
            <w:proofErr w:type="spellStart"/>
            <w:r w:rsidRPr="00D41F3F">
              <w:rPr>
                <w:rFonts w:cstheme="minorHAnsi"/>
              </w:rPr>
              <w:t>summarise</w:t>
            </w:r>
            <w:proofErr w:type="spellEnd"/>
            <w:r w:rsidRPr="00D41F3F">
              <w:rPr>
                <w:rFonts w:cstheme="minorHAnsi"/>
              </w:rPr>
              <w:t xml:space="preserve"> the meaning of French texts belonging to different types of discourse and functional styles</w:t>
            </w:r>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10D2368E" w14:textId="798F1CB6" w:rsidR="004E1750" w:rsidRDefault="004E1750" w:rsidP="00714366"/>
    <w:p w14:paraId="67088AF8" w14:textId="2074E40B" w:rsidR="004422E3" w:rsidRDefault="004422E3" w:rsidP="00AD6FA3"/>
    <w:p w14:paraId="578CF19B" w14:textId="5B6B6A1D"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FDB1E" w14:textId="77777777" w:rsidR="005A6899" w:rsidRDefault="005A6899" w:rsidP="00714366">
      <w:pPr>
        <w:spacing w:after="0" w:line="240" w:lineRule="auto"/>
      </w:pPr>
      <w:r>
        <w:separator/>
      </w:r>
    </w:p>
  </w:endnote>
  <w:endnote w:type="continuationSeparator" w:id="0">
    <w:p w14:paraId="3259D557" w14:textId="77777777" w:rsidR="005A6899" w:rsidRDefault="005A6899"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E4AC1" w14:textId="77777777" w:rsidR="005A6899" w:rsidRDefault="005A6899" w:rsidP="00714366">
      <w:pPr>
        <w:spacing w:after="0" w:line="240" w:lineRule="auto"/>
      </w:pPr>
      <w:r>
        <w:separator/>
      </w:r>
    </w:p>
  </w:footnote>
  <w:footnote w:type="continuationSeparator" w:id="0">
    <w:p w14:paraId="5C55DBBA" w14:textId="77777777" w:rsidR="005A6899" w:rsidRDefault="005A6899" w:rsidP="00714366">
      <w:pPr>
        <w:spacing w:after="0" w:line="240" w:lineRule="auto"/>
      </w:pPr>
      <w:r>
        <w:continuationSeparator/>
      </w:r>
    </w:p>
  </w:footnote>
  <w:footnote w:id="1">
    <w:p w14:paraId="1681BC3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3E708C7C"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3"/>
  </w:num>
  <w:num w:numId="4">
    <w:abstractNumId w:val="11"/>
  </w:num>
  <w:num w:numId="5">
    <w:abstractNumId w:val="4"/>
  </w:num>
  <w:num w:numId="6">
    <w:abstractNumId w:val="1"/>
  </w:num>
  <w:num w:numId="7">
    <w:abstractNumId w:val="8"/>
  </w:num>
  <w:num w:numId="8">
    <w:abstractNumId w:val="0"/>
  </w:num>
  <w:num w:numId="9">
    <w:abstractNumId w:val="10"/>
  </w:num>
  <w:num w:numId="10">
    <w:abstractNumId w:val="16"/>
  </w:num>
  <w:num w:numId="11">
    <w:abstractNumId w:val="3"/>
  </w:num>
  <w:num w:numId="12">
    <w:abstractNumId w:val="17"/>
  </w:num>
  <w:num w:numId="13">
    <w:abstractNumId w:val="2"/>
  </w:num>
  <w:num w:numId="14">
    <w:abstractNumId w:val="15"/>
  </w:num>
  <w:num w:numId="15">
    <w:abstractNumId w:val="5"/>
  </w:num>
  <w:num w:numId="16">
    <w:abstractNumId w:val="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F3BE8"/>
    <w:rsid w:val="00230887"/>
    <w:rsid w:val="00297469"/>
    <w:rsid w:val="002A2EE6"/>
    <w:rsid w:val="003804F7"/>
    <w:rsid w:val="00381EEA"/>
    <w:rsid w:val="003B1E7C"/>
    <w:rsid w:val="003E03D6"/>
    <w:rsid w:val="004422E3"/>
    <w:rsid w:val="00465279"/>
    <w:rsid w:val="00493F95"/>
    <w:rsid w:val="004E1750"/>
    <w:rsid w:val="00525147"/>
    <w:rsid w:val="00526F3A"/>
    <w:rsid w:val="005A6899"/>
    <w:rsid w:val="005D7B91"/>
    <w:rsid w:val="0062222F"/>
    <w:rsid w:val="00662550"/>
    <w:rsid w:val="00675172"/>
    <w:rsid w:val="00714366"/>
    <w:rsid w:val="007254DF"/>
    <w:rsid w:val="007E09CB"/>
    <w:rsid w:val="009047B0"/>
    <w:rsid w:val="009125E6"/>
    <w:rsid w:val="0092101E"/>
    <w:rsid w:val="0092582F"/>
    <w:rsid w:val="00966206"/>
    <w:rsid w:val="00966E70"/>
    <w:rsid w:val="009716E7"/>
    <w:rsid w:val="009C6004"/>
    <w:rsid w:val="00A01504"/>
    <w:rsid w:val="00AB04BF"/>
    <w:rsid w:val="00AC000C"/>
    <w:rsid w:val="00AD64A3"/>
    <w:rsid w:val="00AD6FA3"/>
    <w:rsid w:val="00AD78DD"/>
    <w:rsid w:val="00BC2B7F"/>
    <w:rsid w:val="00BD49AB"/>
    <w:rsid w:val="00C122B0"/>
    <w:rsid w:val="00C64195"/>
    <w:rsid w:val="00CA20E4"/>
    <w:rsid w:val="00CD030E"/>
    <w:rsid w:val="00CE3B68"/>
    <w:rsid w:val="00D06704"/>
    <w:rsid w:val="00D12733"/>
    <w:rsid w:val="00D37240"/>
    <w:rsid w:val="00D41F3F"/>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B8060-9146-459D-9050-C6E54B7D8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16</cp:revision>
  <cp:lastPrinted>2019-02-18T13:08:00Z</cp:lastPrinted>
  <dcterms:created xsi:type="dcterms:W3CDTF">2024-01-02T08:00:00Z</dcterms:created>
  <dcterms:modified xsi:type="dcterms:W3CDTF">2024-01-04T14:46:00Z</dcterms:modified>
</cp:coreProperties>
</file>