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2443B0F4" w:rsidR="004E1750" w:rsidRPr="00E87B86" w:rsidRDefault="004E1750" w:rsidP="005B1A5D">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2C26BADE"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5B1A5D">
              <w:rPr>
                <w:rFonts w:cstheme="minorHAnsi"/>
                <w:color w:val="FF0000"/>
              </w:rPr>
              <w:t>BA, 3</w:t>
            </w:r>
            <w:r w:rsidR="005B1A5D">
              <w:rPr>
                <w:rFonts w:cstheme="minorHAnsi"/>
                <w:color w:val="FF0000"/>
                <w:vertAlign w:val="superscript"/>
              </w:rPr>
              <w:t>rd</w:t>
            </w:r>
            <w:r w:rsidR="005B1A5D">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3990B902" w:rsidR="004E1750" w:rsidRPr="00E87B86" w:rsidRDefault="003F4989" w:rsidP="00171E21">
            <w:pPr>
              <w:jc w:val="center"/>
              <w:rPr>
                <w:rFonts w:cstheme="minorHAnsi"/>
                <w:b/>
                <w:bCs/>
              </w:rPr>
            </w:pPr>
            <w:bookmarkStart w:id="0" w:name="_GoBack"/>
            <w:r w:rsidRPr="003F4989">
              <w:rPr>
                <w:rFonts w:cstheme="minorHAnsi"/>
                <w:b/>
                <w:bCs/>
                <w:color w:val="333333"/>
                <w:shd w:val="clear" w:color="auto" w:fill="FFFFFF"/>
              </w:rPr>
              <w:t>Introduction to French Syntax</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2ABE77F2" w:rsidR="004E1750" w:rsidRPr="00E87B86" w:rsidRDefault="00255F72" w:rsidP="00171E21">
            <w:pPr>
              <w:rPr>
                <w:rFonts w:cstheme="minorHAnsi"/>
              </w:rPr>
            </w:pPr>
            <w:proofErr w:type="spellStart"/>
            <w:r w:rsidRPr="00255F72">
              <w:rPr>
                <w:rFonts w:cstheme="minorHAnsi"/>
                <w:shd w:val="clear" w:color="auto" w:fill="FFFFFF"/>
              </w:rPr>
              <w:t>Familiarisation</w:t>
            </w:r>
            <w:proofErr w:type="spellEnd"/>
            <w:r w:rsidRPr="00255F72">
              <w:rPr>
                <w:rFonts w:cstheme="minorHAnsi"/>
                <w:shd w:val="clear" w:color="auto" w:fill="FFFFFF"/>
              </w:rPr>
              <w:t xml:space="preserve"> with the fundamental procedures of syntactic analysis of the sentence and </w:t>
            </w:r>
            <w:proofErr w:type="spellStart"/>
            <w:r w:rsidRPr="00255F72">
              <w:rPr>
                <w:rFonts w:cstheme="minorHAnsi"/>
                <w:shd w:val="clear" w:color="auto" w:fill="FFFFFF"/>
              </w:rPr>
              <w:t>understading</w:t>
            </w:r>
            <w:proofErr w:type="spellEnd"/>
            <w:r w:rsidRPr="00255F72">
              <w:rPr>
                <w:rFonts w:cstheme="minorHAnsi"/>
                <w:shd w:val="clear" w:color="auto" w:fill="FFFFFF"/>
              </w:rPr>
              <w:t xml:space="preserve"> of syntactic descriptions (i.e. grammars); acquisition of important elements of the normative syntax of French and their application in the construction of one’s own validated sentences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743D4A78" w:rsidR="004E1750" w:rsidRPr="00E87B86" w:rsidRDefault="003F4989" w:rsidP="00171E21">
            <w:pPr>
              <w:rPr>
                <w:rFonts w:cstheme="minorHAnsi"/>
              </w:rPr>
            </w:pPr>
            <w:proofErr w:type="spellStart"/>
            <w:r w:rsidRPr="003F4989">
              <w:rPr>
                <w:rFonts w:cstheme="minorHAnsi"/>
                <w:shd w:val="clear" w:color="auto" w:fill="FFFFFF"/>
              </w:rPr>
              <w:t>Dražen</w:t>
            </w:r>
            <w:proofErr w:type="spellEnd"/>
            <w:r w:rsidRPr="003F4989">
              <w:rPr>
                <w:rFonts w:cstheme="minorHAnsi"/>
                <w:shd w:val="clear" w:color="auto" w:fill="FFFFFF"/>
              </w:rPr>
              <w:t xml:space="preserve"> </w:t>
            </w:r>
            <w:proofErr w:type="spellStart"/>
            <w:r w:rsidRPr="003F4989">
              <w:rPr>
                <w:rFonts w:cstheme="minorHAnsi"/>
                <w:shd w:val="clear" w:color="auto" w:fill="FFFFFF"/>
              </w:rPr>
              <w:t>Varga</w:t>
            </w:r>
            <w:proofErr w:type="spellEnd"/>
            <w:r w:rsidRPr="003F4989">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39BC389" w14:textId="347E1747" w:rsidR="00171E21" w:rsidRPr="00E87B86" w:rsidRDefault="00255F72" w:rsidP="00171E21">
            <w:pPr>
              <w:rPr>
                <w:rFonts w:cstheme="minorHAnsi"/>
              </w:rPr>
            </w:pPr>
            <w:r w:rsidRPr="00255F72">
              <w:rPr>
                <w:rFonts w:cstheme="minorHAnsi"/>
              </w:rPr>
              <w:t xml:space="preserve">Direct teaching (lectures). </w:t>
            </w:r>
            <w:proofErr w:type="spellStart"/>
            <w:r w:rsidRPr="00255F72">
              <w:rPr>
                <w:rFonts w:cstheme="minorHAnsi"/>
              </w:rPr>
              <w:t>Dissussions</w:t>
            </w:r>
            <w:proofErr w:type="spellEnd"/>
            <w:r w:rsidRPr="00255F72">
              <w:rPr>
                <w:rFonts w:cstheme="minorHAnsi"/>
              </w:rPr>
              <w:t xml:space="preserve"> related to acquired knowledge, completion of and commenting on exercises (analysis and transformation).</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5CCA8DD4" w:rsidR="004E1750" w:rsidRPr="003F4989" w:rsidRDefault="003F4989" w:rsidP="00171E21">
            <w:pPr>
              <w:rPr>
                <w:rFonts w:cstheme="minorHAnsi"/>
                <w:highlight w:val="yellow"/>
              </w:rPr>
            </w:pPr>
            <w:r w:rsidRPr="003F4989">
              <w:rPr>
                <w:rFonts w:cstheme="minorHAnsi"/>
                <w:highlight w:val="yellow"/>
              </w:rPr>
              <w:t>90 min</w:t>
            </w:r>
          </w:p>
        </w:tc>
        <w:tc>
          <w:tcPr>
            <w:tcW w:w="3132" w:type="dxa"/>
          </w:tcPr>
          <w:p w14:paraId="3AD1E614" w14:textId="51B3115C" w:rsidR="004E1750" w:rsidRPr="00E87B86" w:rsidRDefault="003F4989"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1E1C1214" w:rsidR="004E1750" w:rsidRPr="003F4989" w:rsidRDefault="003F4989" w:rsidP="00171E21">
            <w:pPr>
              <w:rPr>
                <w:rFonts w:cstheme="minorHAnsi"/>
                <w:highlight w:val="yellow"/>
              </w:rPr>
            </w:pPr>
            <w:r w:rsidRPr="003F4989">
              <w:rPr>
                <w:rFonts w:cstheme="minorHAnsi"/>
                <w:highlight w:val="yellow"/>
              </w:rPr>
              <w:t>45 min</w:t>
            </w:r>
          </w:p>
        </w:tc>
        <w:tc>
          <w:tcPr>
            <w:tcW w:w="3132" w:type="dxa"/>
          </w:tcPr>
          <w:p w14:paraId="190276AB" w14:textId="72577246" w:rsidR="004E1750" w:rsidRPr="00E87B86" w:rsidRDefault="003F4989" w:rsidP="00171E21">
            <w:pPr>
              <w:rPr>
                <w:rFonts w:cstheme="minorHAnsi"/>
              </w:rPr>
            </w:pPr>
            <w:r>
              <w:rPr>
                <w:rFonts w:cstheme="minorHAnsi"/>
              </w:rPr>
              <w:t>15</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720C4BF3" w:rsidR="004E1750" w:rsidRPr="00E87B86" w:rsidRDefault="004E1750" w:rsidP="00171E21">
            <w:pPr>
              <w:rPr>
                <w:rFonts w:cstheme="minorHAnsi"/>
              </w:rPr>
            </w:pPr>
          </w:p>
        </w:tc>
        <w:tc>
          <w:tcPr>
            <w:tcW w:w="3132" w:type="dxa"/>
          </w:tcPr>
          <w:p w14:paraId="512B8700" w14:textId="045BD2CF"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74845E31" w:rsidR="004E1750" w:rsidRPr="00E87B86" w:rsidRDefault="004E1750" w:rsidP="003F4989">
            <w:pPr>
              <w:rPr>
                <w:rFonts w:cstheme="minorHAnsi"/>
              </w:rPr>
            </w:pPr>
            <w:r w:rsidRPr="00E87B86">
              <w:rPr>
                <w:rFonts w:cstheme="minorHAnsi"/>
              </w:rPr>
              <w:t xml:space="preserve">ECTS: </w:t>
            </w:r>
            <w:r w:rsidR="003F4989">
              <w:rPr>
                <w:rFonts w:cstheme="minorHAnsi"/>
              </w:rPr>
              <w:t>4</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44484DCD" w14:textId="77777777" w:rsidR="004E1750" w:rsidRDefault="00255F72" w:rsidP="00171E21">
            <w:pPr>
              <w:rPr>
                <w:rFonts w:cstheme="minorHAnsi"/>
              </w:rPr>
            </w:pPr>
            <w:r w:rsidRPr="00255F72">
              <w:rPr>
                <w:rFonts w:cstheme="minorHAnsi"/>
              </w:rPr>
              <w:lastRenderedPageBreak/>
              <w:t>Continuous evaluation. Written midterm exams / the written part of the final exam followed by the oral part of the final exam</w:t>
            </w:r>
            <w:r>
              <w:rPr>
                <w:rFonts w:cstheme="minorHAnsi"/>
              </w:rPr>
              <w:t>.</w:t>
            </w:r>
          </w:p>
          <w:p w14:paraId="7481E31F" w14:textId="4BD1A233" w:rsidR="00255F72" w:rsidRPr="00E87B86" w:rsidRDefault="00255F72" w:rsidP="00171E21">
            <w:pPr>
              <w:rPr>
                <w:rFonts w:cstheme="minorHAnsi"/>
              </w:rPr>
            </w:pPr>
          </w:p>
        </w:tc>
      </w:tr>
      <w:tr w:rsidR="004E1750" w:rsidRPr="00E87B86" w14:paraId="4691DD8B" w14:textId="77777777" w:rsidTr="00171E21">
        <w:tc>
          <w:tcPr>
            <w:tcW w:w="9396" w:type="dxa"/>
            <w:gridSpan w:val="3"/>
          </w:tcPr>
          <w:p w14:paraId="34A5960F" w14:textId="77777777" w:rsidR="00255F72" w:rsidRPr="00255F72" w:rsidRDefault="00255F72" w:rsidP="00255F72">
            <w:pPr>
              <w:shd w:val="clear" w:color="auto" w:fill="FFFFFF"/>
              <w:spacing w:before="100" w:beforeAutospacing="1" w:after="100" w:afterAutospacing="1"/>
              <w:rPr>
                <w:rFonts w:cstheme="minorHAnsi"/>
              </w:rPr>
            </w:pPr>
            <w:r w:rsidRPr="00255F72">
              <w:rPr>
                <w:rFonts w:cstheme="minorHAnsi"/>
              </w:rPr>
              <w:lastRenderedPageBreak/>
              <w:t>Learning outcomes</w:t>
            </w:r>
          </w:p>
          <w:p w14:paraId="4F7A7F89"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 xml:space="preserve">Understand the basic </w:t>
            </w:r>
            <w:proofErr w:type="spellStart"/>
            <w:r w:rsidRPr="00255F72">
              <w:rPr>
                <w:rFonts w:cstheme="minorHAnsi"/>
              </w:rPr>
              <w:t>synactic</w:t>
            </w:r>
            <w:proofErr w:type="spellEnd"/>
            <w:r w:rsidRPr="00255F72">
              <w:rPr>
                <w:rFonts w:cstheme="minorHAnsi"/>
              </w:rPr>
              <w:t xml:space="preserve"> </w:t>
            </w:r>
            <w:proofErr w:type="spellStart"/>
            <w:r w:rsidRPr="00255F72">
              <w:rPr>
                <w:rFonts w:cstheme="minorHAnsi"/>
              </w:rPr>
              <w:t>organisation</w:t>
            </w:r>
            <w:proofErr w:type="spellEnd"/>
            <w:r w:rsidRPr="00255F72">
              <w:rPr>
                <w:rFonts w:cstheme="minorHAnsi"/>
              </w:rPr>
              <w:t xml:space="preserve"> of the French sentence</w:t>
            </w:r>
          </w:p>
          <w:p w14:paraId="297B8C8D"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Understand and explain the process of composing compound sentences</w:t>
            </w:r>
          </w:p>
          <w:p w14:paraId="03CBD8A4"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Conduct detailed analysis of French sentences according to functional and formal criteria</w:t>
            </w:r>
          </w:p>
          <w:p w14:paraId="3E42AFC5"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Understand and explain the characteristics of modalities and forms in the French sentence</w:t>
            </w:r>
          </w:p>
          <w:p w14:paraId="1F5DE824"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Transform sentences on the basis of acquired knowledge and skills</w:t>
            </w:r>
          </w:p>
          <w:p w14:paraId="709F832B"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Develop a critical view of the connection between the elements of the analysis and corresponding transformations</w:t>
            </w:r>
          </w:p>
          <w:p w14:paraId="3277FD83"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Explain the importance of syntactic analysis and understanding for the creation of texts/utterances</w:t>
            </w:r>
          </w:p>
          <w:p w14:paraId="40454BDA" w14:textId="77777777" w:rsidR="00255F72" w:rsidRPr="00255F72"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describe and explain within the framework of diverse contemporary grammatical and linguistic approaches and theories all phonological, phonetic, morphological, and syntactic categories in the French language</w:t>
            </w:r>
          </w:p>
          <w:p w14:paraId="2B390C19" w14:textId="3D7BCC0D" w:rsidR="004E1750" w:rsidRPr="004E1750" w:rsidRDefault="00255F72" w:rsidP="00255F72">
            <w:pPr>
              <w:pStyle w:val="ListParagraph"/>
              <w:numPr>
                <w:ilvl w:val="0"/>
                <w:numId w:val="19"/>
              </w:numPr>
              <w:shd w:val="clear" w:color="auto" w:fill="FFFFFF"/>
              <w:spacing w:before="100" w:beforeAutospacing="1" w:after="100" w:afterAutospacing="1"/>
              <w:rPr>
                <w:rFonts w:cstheme="minorHAnsi"/>
              </w:rPr>
            </w:pPr>
            <w:r w:rsidRPr="00255F72">
              <w:rPr>
                <w:rFonts w:cstheme="minorHAnsi"/>
              </w:rPr>
              <w:t>categorize functional elements of the French sentence and create communication effects of differently constructed sentences within oral and written utterances and discourses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84C0" w14:textId="77777777" w:rsidR="00BD6605" w:rsidRDefault="00BD6605" w:rsidP="00714366">
      <w:pPr>
        <w:spacing w:after="0" w:line="240" w:lineRule="auto"/>
      </w:pPr>
      <w:r>
        <w:separator/>
      </w:r>
    </w:p>
  </w:endnote>
  <w:endnote w:type="continuationSeparator" w:id="0">
    <w:p w14:paraId="09BB072B" w14:textId="77777777" w:rsidR="00BD6605" w:rsidRDefault="00BD660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13D8" w14:textId="77777777" w:rsidR="00BD6605" w:rsidRDefault="00BD6605" w:rsidP="00714366">
      <w:pPr>
        <w:spacing w:after="0" w:line="240" w:lineRule="auto"/>
      </w:pPr>
      <w:r>
        <w:separator/>
      </w:r>
    </w:p>
  </w:footnote>
  <w:footnote w:type="continuationSeparator" w:id="0">
    <w:p w14:paraId="1204C70D" w14:textId="77777777" w:rsidR="00BD6605" w:rsidRDefault="00BD6605"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4F02E1"/>
    <w:multiLevelType w:val="hybridMultilevel"/>
    <w:tmpl w:val="361E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4"/>
  </w:num>
  <w:num w:numId="4">
    <w:abstractNumId w:val="11"/>
  </w:num>
  <w:num w:numId="5">
    <w:abstractNumId w:val="4"/>
  </w:num>
  <w:num w:numId="6">
    <w:abstractNumId w:val="1"/>
  </w:num>
  <w:num w:numId="7">
    <w:abstractNumId w:val="8"/>
  </w:num>
  <w:num w:numId="8">
    <w:abstractNumId w:val="0"/>
  </w:num>
  <w:num w:numId="9">
    <w:abstractNumId w:val="10"/>
  </w:num>
  <w:num w:numId="10">
    <w:abstractNumId w:val="17"/>
  </w:num>
  <w:num w:numId="11">
    <w:abstractNumId w:val="3"/>
  </w:num>
  <w:num w:numId="12">
    <w:abstractNumId w:val="18"/>
  </w:num>
  <w:num w:numId="13">
    <w:abstractNumId w:val="2"/>
  </w:num>
  <w:num w:numId="14">
    <w:abstractNumId w:val="16"/>
  </w:num>
  <w:num w:numId="15">
    <w:abstractNumId w:val="5"/>
  </w:num>
  <w:num w:numId="16">
    <w:abstractNumId w:val="6"/>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55F72"/>
    <w:rsid w:val="00297469"/>
    <w:rsid w:val="002A2EE6"/>
    <w:rsid w:val="003804F7"/>
    <w:rsid w:val="00381EEA"/>
    <w:rsid w:val="003B1E7C"/>
    <w:rsid w:val="003E03D6"/>
    <w:rsid w:val="003F4989"/>
    <w:rsid w:val="004422E3"/>
    <w:rsid w:val="00465279"/>
    <w:rsid w:val="004E1750"/>
    <w:rsid w:val="00525147"/>
    <w:rsid w:val="00526F3A"/>
    <w:rsid w:val="005B1A5D"/>
    <w:rsid w:val="005D7B91"/>
    <w:rsid w:val="0062222F"/>
    <w:rsid w:val="00662550"/>
    <w:rsid w:val="00675172"/>
    <w:rsid w:val="00714366"/>
    <w:rsid w:val="007254DF"/>
    <w:rsid w:val="007E09CB"/>
    <w:rsid w:val="00812D1F"/>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BD6605"/>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D631-E1C5-4380-914A-A76E8E8C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2024-01-04T14:31:00Z</dcterms:modified>
</cp:coreProperties>
</file>