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14366" w14:paraId="407AF9F8" w14:textId="77777777" w:rsidTr="00714366">
        <w:tc>
          <w:tcPr>
            <w:tcW w:w="9396" w:type="dxa"/>
            <w:gridSpan w:val="3"/>
          </w:tcPr>
          <w:p w14:paraId="23ABCBB8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PROGRAMME:</w:t>
            </w:r>
            <w:r w:rsidR="00120BC5">
              <w:rPr>
                <w:rFonts w:ascii="Calibri" w:hAnsi="Calibri" w:cs="Calibri"/>
              </w:rPr>
              <w:t xml:space="preserve"> </w:t>
            </w:r>
          </w:p>
          <w:p w14:paraId="10B3100A" w14:textId="77777777" w:rsidR="00EB59AF" w:rsidRPr="00714366" w:rsidRDefault="005831A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Swedish Language and Culture</w:t>
            </w:r>
          </w:p>
        </w:tc>
      </w:tr>
      <w:tr w:rsidR="005D7B91" w14:paraId="180B3333" w14:textId="77777777" w:rsidTr="00714366">
        <w:tc>
          <w:tcPr>
            <w:tcW w:w="9396" w:type="dxa"/>
            <w:gridSpan w:val="3"/>
          </w:tcPr>
          <w:p w14:paraId="48D46A9F" w14:textId="77777777" w:rsidR="005D7B91" w:rsidRPr="0007245F" w:rsidRDefault="005D7B91" w:rsidP="00593EB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Level</w:t>
            </w:r>
            <w:r w:rsidR="00EB59AF">
              <w:rPr>
                <w:rFonts w:ascii="Calibri" w:hAnsi="Calibri" w:cs="Calibri"/>
              </w:rPr>
              <w:t xml:space="preserve"> and Year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>:</w:t>
            </w:r>
            <w:r w:rsidR="0007245F">
              <w:rPr>
                <w:rFonts w:ascii="Calibri" w:hAnsi="Calibri" w:cs="Calibri"/>
              </w:rPr>
              <w:t xml:space="preserve"> </w:t>
            </w:r>
            <w:r w:rsidR="0007245F">
              <w:rPr>
                <w:rFonts w:ascii="Calibri" w:hAnsi="Calibri" w:cs="Calibri"/>
                <w:color w:val="FF0000"/>
              </w:rPr>
              <w:t xml:space="preserve"> </w:t>
            </w:r>
            <w:r w:rsidR="00593EBC">
              <w:rPr>
                <w:rFonts w:ascii="Calibri" w:hAnsi="Calibri" w:cs="Calibri"/>
                <w:color w:val="FF0000"/>
              </w:rPr>
              <w:t>MA</w:t>
            </w:r>
            <w:r w:rsidR="005831A6">
              <w:rPr>
                <w:rFonts w:ascii="Calibri" w:hAnsi="Calibri" w:cs="Calibri"/>
                <w:color w:val="FF0000"/>
              </w:rPr>
              <w:t>, 2nd</w:t>
            </w:r>
            <w:r w:rsidR="00E216DE">
              <w:rPr>
                <w:rFonts w:ascii="Calibri" w:hAnsi="Calibri" w:cs="Calibri"/>
                <w:color w:val="FF0000"/>
              </w:rPr>
              <w:t xml:space="preserve"> year</w:t>
            </w:r>
          </w:p>
        </w:tc>
      </w:tr>
      <w:tr w:rsidR="00A01504" w14:paraId="1DD28358" w14:textId="77777777" w:rsidTr="00B77E7E">
        <w:tc>
          <w:tcPr>
            <w:tcW w:w="9396" w:type="dxa"/>
            <w:gridSpan w:val="3"/>
          </w:tcPr>
          <w:p w14:paraId="00B7F26A" w14:textId="77777777" w:rsidR="00A01504" w:rsidRDefault="00A01504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Title:</w:t>
            </w:r>
            <w:r w:rsidR="005831A6">
              <w:rPr>
                <w:rFonts w:ascii="Calibri" w:hAnsi="Calibri" w:cs="Calibri"/>
              </w:rPr>
              <w:t xml:space="preserve"> </w:t>
            </w:r>
          </w:p>
          <w:p w14:paraId="2BDB798B" w14:textId="77777777" w:rsidR="00A01504" w:rsidRPr="00714366" w:rsidRDefault="005831A6" w:rsidP="00714366">
            <w:pPr>
              <w:rPr>
                <w:rFonts w:ascii="Calibri" w:hAnsi="Calibri" w:cs="Calibri"/>
              </w:rPr>
            </w:pPr>
            <w:r>
              <w:t>SCANDINAVIAN CINEMA</w:t>
            </w:r>
          </w:p>
        </w:tc>
      </w:tr>
      <w:tr w:rsidR="005D7B91" w14:paraId="41B653EA" w14:textId="77777777" w:rsidTr="00714366">
        <w:tc>
          <w:tcPr>
            <w:tcW w:w="9396" w:type="dxa"/>
            <w:gridSpan w:val="3"/>
          </w:tcPr>
          <w:p w14:paraId="30058EA4" w14:textId="77777777" w:rsidR="005D7B91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Description:</w:t>
            </w:r>
          </w:p>
          <w:p w14:paraId="603DE63B" w14:textId="77777777" w:rsidR="00EB59AF" w:rsidRPr="00D83BBF" w:rsidRDefault="008932AE" w:rsidP="00433DF4">
            <w:pPr>
              <w:rPr>
                <w:rFonts w:ascii="Calibri" w:hAnsi="Calibri" w:cs="Calibri"/>
              </w:rPr>
            </w:pPr>
            <w:r>
              <w:t>The aim of the course is to give a brief overview of the history of</w:t>
            </w:r>
            <w:r w:rsidR="00433DF4">
              <w:t xml:space="preserve"> </w:t>
            </w:r>
            <w:r>
              <w:t xml:space="preserve">Scandinavian cinema, with a </w:t>
            </w:r>
            <w:r w:rsidR="00433DF4">
              <w:t>p</w:t>
            </w:r>
            <w:r>
              <w:t>articular emphasis on canonised titles and</w:t>
            </w:r>
            <w:r w:rsidR="00433DF4">
              <w:t xml:space="preserve"> </w:t>
            </w:r>
            <w:r>
              <w:t>authors and contemporary tendencies.</w:t>
            </w:r>
          </w:p>
        </w:tc>
      </w:tr>
      <w:tr w:rsidR="005D7B91" w14:paraId="3AA54DA6" w14:textId="77777777" w:rsidTr="00714366">
        <w:tc>
          <w:tcPr>
            <w:tcW w:w="9396" w:type="dxa"/>
            <w:gridSpan w:val="3"/>
          </w:tcPr>
          <w:p w14:paraId="0ABE1E83" w14:textId="3665DE8D" w:rsidR="005D7B91" w:rsidRPr="0007245F" w:rsidRDefault="005D7B91" w:rsidP="00B424D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Semester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</w:rPr>
              <w:t>:</w:t>
            </w:r>
            <w:r w:rsidR="0007245F" w:rsidRPr="0007245F">
              <w:rPr>
                <w:rFonts w:ascii="Calibri" w:hAnsi="Calibri" w:cs="Calibri"/>
                <w:color w:val="FF0000"/>
              </w:rPr>
              <w:t xml:space="preserve"> </w:t>
            </w:r>
            <w:r w:rsidR="00B424D4">
              <w:rPr>
                <w:rFonts w:ascii="Calibri" w:hAnsi="Calibri" w:cs="Calibri"/>
                <w:color w:val="FF0000"/>
              </w:rPr>
              <w:t>Summer 202</w:t>
            </w:r>
            <w:r w:rsidR="00FA7967">
              <w:rPr>
                <w:rFonts w:ascii="Calibri" w:hAnsi="Calibri" w:cs="Calibri"/>
                <w:color w:val="FF0000"/>
              </w:rPr>
              <w:t>5</w:t>
            </w:r>
          </w:p>
        </w:tc>
      </w:tr>
      <w:tr w:rsidR="00714366" w14:paraId="3E7D5D4B" w14:textId="77777777" w:rsidTr="00714366">
        <w:tc>
          <w:tcPr>
            <w:tcW w:w="9396" w:type="dxa"/>
            <w:gridSpan w:val="3"/>
          </w:tcPr>
          <w:p w14:paraId="72A0ACC6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Lecturer</w:t>
            </w:r>
            <w:r w:rsidR="007254DF">
              <w:rPr>
                <w:rFonts w:ascii="Calibri" w:hAnsi="Calibri" w:cs="Calibri"/>
              </w:rPr>
              <w:t>(s)/Teacher(s)</w:t>
            </w:r>
            <w:r>
              <w:rPr>
                <w:rFonts w:ascii="Calibri" w:hAnsi="Calibri" w:cs="Calibri"/>
              </w:rPr>
              <w:t>:</w:t>
            </w:r>
          </w:p>
          <w:p w14:paraId="19110F1C" w14:textId="49A175F8" w:rsidR="00C64195" w:rsidRPr="00714366" w:rsidRDefault="00FA7967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Višnja Pentić </w:t>
            </w:r>
            <w:r>
              <w:t>V</w:t>
            </w:r>
            <w:r w:rsidRPr="00FA7967">
              <w:rPr>
                <w:rFonts w:ascii="Calibri" w:hAnsi="Calibri" w:cs="Calibri"/>
              </w:rPr>
              <w:t>ukašinović</w:t>
            </w:r>
            <w:r w:rsidR="00F82C27">
              <w:rPr>
                <w:rFonts w:ascii="Calibri" w:hAnsi="Calibri" w:cs="Calibri"/>
              </w:rPr>
              <w:t>, PhD</w:t>
            </w:r>
          </w:p>
        </w:tc>
      </w:tr>
      <w:tr w:rsidR="00A01504" w14:paraId="07995A6F" w14:textId="77777777" w:rsidTr="00714366">
        <w:tc>
          <w:tcPr>
            <w:tcW w:w="9396" w:type="dxa"/>
            <w:gridSpan w:val="3"/>
          </w:tcPr>
          <w:p w14:paraId="6A70E1F5" w14:textId="77777777" w:rsidR="00E203E8" w:rsidRDefault="00E203E8" w:rsidP="00686B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Language (regular)</w:t>
            </w:r>
            <w:r w:rsidR="00C64195">
              <w:rPr>
                <w:rStyle w:val="Fotnotsreferens"/>
                <w:rFonts w:ascii="Calibri" w:hAnsi="Calibri" w:cs="Calibri"/>
              </w:rPr>
              <w:footnoteReference w:id="3"/>
            </w:r>
            <w:r w:rsidR="007254DF">
              <w:rPr>
                <w:rFonts w:ascii="Calibri" w:hAnsi="Calibri" w:cs="Calibri"/>
              </w:rPr>
              <w:t>:</w:t>
            </w:r>
            <w:r w:rsidR="00F82C27">
              <w:rPr>
                <w:rFonts w:ascii="Calibri" w:hAnsi="Calibri" w:cs="Calibri"/>
              </w:rPr>
              <w:t xml:space="preserve"> Croatian and Swedish</w:t>
            </w:r>
          </w:p>
        </w:tc>
      </w:tr>
      <w:tr w:rsidR="007254DF" w14:paraId="341922E2" w14:textId="77777777" w:rsidTr="00714366">
        <w:tc>
          <w:tcPr>
            <w:tcW w:w="9396" w:type="dxa"/>
            <w:gridSpan w:val="3"/>
          </w:tcPr>
          <w:p w14:paraId="212F136B" w14:textId="77777777" w:rsidR="007254DF" w:rsidRDefault="007254DF" w:rsidP="00714366">
            <w:pPr>
              <w:rPr>
                <w:rFonts w:ascii="Calibri" w:hAnsi="Calibri" w:cs="Calibri"/>
              </w:rPr>
            </w:pPr>
            <w:r w:rsidRPr="007254DF">
              <w:rPr>
                <w:rFonts w:ascii="Calibri" w:hAnsi="Calibri" w:cs="Calibri"/>
              </w:rPr>
              <w:t>Teaching Methods</w:t>
            </w:r>
            <w:r>
              <w:rPr>
                <w:rFonts w:ascii="Calibri" w:hAnsi="Calibri" w:cs="Calibri"/>
              </w:rPr>
              <w:t xml:space="preserve"> (regular):</w:t>
            </w:r>
            <w:r>
              <w:rPr>
                <w:rStyle w:val="Fotnotsreferens"/>
                <w:rFonts w:ascii="Calibri" w:hAnsi="Calibri" w:cs="Calibri"/>
              </w:rPr>
              <w:footnoteReference w:id="4"/>
            </w:r>
          </w:p>
          <w:p w14:paraId="2608A11A" w14:textId="77777777" w:rsidR="009C6004" w:rsidRDefault="00AC6801" w:rsidP="00CD13FA">
            <w:pPr>
              <w:rPr>
                <w:rFonts w:ascii="Calibri" w:hAnsi="Calibri" w:cs="Calibri"/>
              </w:rPr>
            </w:pPr>
            <w:r>
              <w:t>T</w:t>
            </w:r>
            <w:r w:rsidRPr="00D12733">
              <w:t>eaching through</w:t>
            </w:r>
            <w:r>
              <w:rPr>
                <w:rFonts w:ascii="Calibri" w:hAnsi="Calibri" w:cs="Calibri"/>
              </w:rPr>
              <w:t xml:space="preserve"> l</w:t>
            </w:r>
            <w:r w:rsidR="00F82C27">
              <w:rPr>
                <w:rFonts w:ascii="Calibri" w:hAnsi="Calibri" w:cs="Calibri"/>
              </w:rPr>
              <w:t>ectures, seminars</w:t>
            </w:r>
            <w:r w:rsidR="00EC7D2A">
              <w:rPr>
                <w:rFonts w:ascii="Calibri" w:hAnsi="Calibri" w:cs="Calibri"/>
              </w:rPr>
              <w:t xml:space="preserve"> and </w:t>
            </w:r>
            <w:r w:rsidR="00CD13FA">
              <w:rPr>
                <w:rFonts w:ascii="Calibri" w:hAnsi="Calibri" w:cs="Calibri"/>
              </w:rPr>
              <w:t>film</w:t>
            </w:r>
            <w:r w:rsidR="00F82C27">
              <w:rPr>
                <w:rFonts w:ascii="Calibri" w:hAnsi="Calibri" w:cs="Calibri"/>
              </w:rPr>
              <w:t xml:space="preserve"> screenings</w:t>
            </w:r>
            <w:r>
              <w:rPr>
                <w:rFonts w:ascii="Calibri" w:hAnsi="Calibri" w:cs="Calibri"/>
              </w:rPr>
              <w:t xml:space="preserve">. </w:t>
            </w:r>
            <w:r w:rsidRPr="00D12733">
              <w:t xml:space="preserve"> E-Learning (Omega</w:t>
            </w:r>
            <w:r>
              <w:t>)</w:t>
            </w:r>
          </w:p>
        </w:tc>
      </w:tr>
      <w:tr w:rsidR="00714366" w14:paraId="4431C74E" w14:textId="77777777" w:rsidTr="00334931">
        <w:tc>
          <w:tcPr>
            <w:tcW w:w="3132" w:type="dxa"/>
          </w:tcPr>
          <w:p w14:paraId="435C1A08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</w:t>
            </w:r>
            <w:r w:rsidR="00465279">
              <w:rPr>
                <w:rFonts w:ascii="Calibri" w:hAnsi="Calibri" w:cs="Calibri"/>
              </w:rPr>
              <w:t>:</w:t>
            </w:r>
          </w:p>
        </w:tc>
        <w:tc>
          <w:tcPr>
            <w:tcW w:w="3132" w:type="dxa"/>
          </w:tcPr>
          <w:p w14:paraId="3F5F8E41" w14:textId="77777777" w:rsidR="00714366" w:rsidRPr="00714366" w:rsidRDefault="005D7B91" w:rsidP="00C122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</w:tc>
        <w:tc>
          <w:tcPr>
            <w:tcW w:w="3132" w:type="dxa"/>
          </w:tcPr>
          <w:p w14:paraId="4FE13C4A" w14:textId="77777777" w:rsid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Semester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  <w:p w14:paraId="0ED2B336" w14:textId="77777777" w:rsidR="00465279" w:rsidRPr="00714366" w:rsidRDefault="00465279" w:rsidP="00714366">
            <w:pPr>
              <w:rPr>
                <w:rFonts w:ascii="Calibri" w:hAnsi="Calibri" w:cs="Calibri"/>
              </w:rPr>
            </w:pPr>
          </w:p>
        </w:tc>
      </w:tr>
      <w:tr w:rsidR="00714366" w14:paraId="2D0F5728" w14:textId="77777777" w:rsidTr="00DB754C">
        <w:tc>
          <w:tcPr>
            <w:tcW w:w="3132" w:type="dxa"/>
          </w:tcPr>
          <w:p w14:paraId="44B7C703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Lectures:</w:t>
            </w:r>
          </w:p>
        </w:tc>
        <w:tc>
          <w:tcPr>
            <w:tcW w:w="3132" w:type="dxa"/>
          </w:tcPr>
          <w:p w14:paraId="595AA976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0623F8E0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18BAE2A2" w14:textId="77777777" w:rsidTr="001C572C">
        <w:tc>
          <w:tcPr>
            <w:tcW w:w="3132" w:type="dxa"/>
          </w:tcPr>
          <w:p w14:paraId="408F72B2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Exercises:</w:t>
            </w:r>
          </w:p>
        </w:tc>
        <w:tc>
          <w:tcPr>
            <w:tcW w:w="3132" w:type="dxa"/>
          </w:tcPr>
          <w:p w14:paraId="5A2FF659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2" w:type="dxa"/>
          </w:tcPr>
          <w:p w14:paraId="7D0A8C72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14366" w14:paraId="308E312B" w14:textId="77777777" w:rsidTr="00591030">
        <w:tc>
          <w:tcPr>
            <w:tcW w:w="3132" w:type="dxa"/>
          </w:tcPr>
          <w:p w14:paraId="54952602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Seminars:</w:t>
            </w:r>
          </w:p>
        </w:tc>
        <w:tc>
          <w:tcPr>
            <w:tcW w:w="3132" w:type="dxa"/>
          </w:tcPr>
          <w:p w14:paraId="78E00DAA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46792506" w14:textId="77777777" w:rsidR="00714366" w:rsidRPr="00714366" w:rsidRDefault="00686B3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77F18E94" w14:textId="77777777" w:rsidTr="00714366">
        <w:tc>
          <w:tcPr>
            <w:tcW w:w="9396" w:type="dxa"/>
            <w:gridSpan w:val="3"/>
          </w:tcPr>
          <w:p w14:paraId="5A011E3A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ECTS:</w:t>
            </w:r>
            <w:r w:rsidR="00686B31">
              <w:rPr>
                <w:rFonts w:ascii="Calibri" w:hAnsi="Calibri" w:cs="Calibri"/>
              </w:rPr>
              <w:t xml:space="preserve"> 4</w:t>
            </w:r>
          </w:p>
        </w:tc>
      </w:tr>
      <w:tr w:rsidR="00BC2B7F" w14:paraId="64374830" w14:textId="77777777" w:rsidTr="00714366">
        <w:tc>
          <w:tcPr>
            <w:tcW w:w="9396" w:type="dxa"/>
            <w:gridSpan w:val="3"/>
          </w:tcPr>
          <w:p w14:paraId="08F7B91B" w14:textId="77777777" w:rsidR="00BC2B7F" w:rsidRDefault="00BC2B7F" w:rsidP="00714366">
            <w:pPr>
              <w:rPr>
                <w:rFonts w:ascii="Calibri" w:hAnsi="Calibri" w:cs="Calibri"/>
              </w:rPr>
            </w:pPr>
            <w:r w:rsidRPr="00BC2B7F">
              <w:rPr>
                <w:rFonts w:ascii="Calibri" w:hAnsi="Calibri" w:cs="Calibri"/>
              </w:rPr>
              <w:t>Teaching language and level</w:t>
            </w:r>
            <w:r>
              <w:rPr>
                <w:rStyle w:val="Fotnotsreferens"/>
                <w:rFonts w:ascii="Calibri" w:hAnsi="Calibri" w:cs="Calibri"/>
              </w:rPr>
              <w:footnoteReference w:id="5"/>
            </w:r>
            <w:r w:rsidRPr="00BC2B7F">
              <w:rPr>
                <w:rFonts w:ascii="Calibri" w:hAnsi="Calibri" w:cs="Calibri"/>
              </w:rPr>
              <w:t xml:space="preserve">  for guest</w:t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(exchange) students:</w:t>
            </w:r>
          </w:p>
          <w:p w14:paraId="228505AB" w14:textId="77777777" w:rsidR="00C64195" w:rsidRPr="002210A7" w:rsidRDefault="00686B31" w:rsidP="00714366">
            <w:pPr>
              <w:rPr>
                <w:rFonts w:ascii="Calibri" w:hAnsi="Calibri" w:cs="Calibri"/>
              </w:rPr>
            </w:pPr>
            <w:r w:rsidRPr="002210A7">
              <w:rPr>
                <w:rFonts w:ascii="Calibri" w:hAnsi="Calibri" w:cs="Calibri"/>
              </w:rPr>
              <w:t>English B2</w:t>
            </w:r>
          </w:p>
        </w:tc>
      </w:tr>
      <w:tr w:rsidR="00BC2B7F" w14:paraId="548C4AE7" w14:textId="77777777" w:rsidTr="00714366">
        <w:tc>
          <w:tcPr>
            <w:tcW w:w="9396" w:type="dxa"/>
            <w:gridSpan w:val="3"/>
          </w:tcPr>
          <w:p w14:paraId="37D935D3" w14:textId="77777777" w:rsidR="00BC2B7F" w:rsidRDefault="00BC2B7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Methods</w:t>
            </w:r>
            <w:r>
              <w:rPr>
                <w:rStyle w:val="Fotnotsreferens"/>
                <w:rFonts w:ascii="Calibri" w:hAnsi="Calibri" w:cs="Calibri"/>
              </w:rPr>
              <w:footnoteReference w:id="6"/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for guest (exchange) students</w:t>
            </w:r>
            <w:r>
              <w:rPr>
                <w:rFonts w:ascii="Calibri" w:hAnsi="Calibri" w:cs="Calibri"/>
              </w:rPr>
              <w:t>:</w:t>
            </w:r>
          </w:p>
          <w:p w14:paraId="22F2B812" w14:textId="77777777" w:rsidR="00C64195" w:rsidRPr="00BC2B7F" w:rsidRDefault="000E104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L1: </w:t>
            </w:r>
            <w:r w:rsidR="00686B31">
              <w:rPr>
                <w:rFonts w:ascii="Calibri" w:hAnsi="Calibri" w:cs="Calibri"/>
              </w:rPr>
              <w:t>Lectures, seminars, movie screenings</w:t>
            </w:r>
          </w:p>
        </w:tc>
      </w:tr>
      <w:tr w:rsidR="00EB59AF" w14:paraId="2A573F6F" w14:textId="77777777" w:rsidTr="00714366">
        <w:tc>
          <w:tcPr>
            <w:tcW w:w="9396" w:type="dxa"/>
            <w:gridSpan w:val="3"/>
          </w:tcPr>
          <w:p w14:paraId="25225AE2" w14:textId="77777777" w:rsidR="00EB59AF" w:rsidRPr="003B1E7C" w:rsidRDefault="003804F7" w:rsidP="00714366">
            <w:pPr>
              <w:rPr>
                <w:rFonts w:ascii="Calibri" w:hAnsi="Calibri" w:cs="Calibri"/>
              </w:rPr>
            </w:pPr>
            <w:r w:rsidRPr="003B1E7C">
              <w:rPr>
                <w:rFonts w:ascii="Calibri" w:hAnsi="Calibri" w:cs="Calibri"/>
              </w:rPr>
              <w:t>Evaluation</w:t>
            </w:r>
            <w:r w:rsidR="00EB59AF" w:rsidRPr="003B1E7C">
              <w:rPr>
                <w:rFonts w:ascii="Calibri" w:hAnsi="Calibri" w:cs="Calibri"/>
              </w:rPr>
              <w:t xml:space="preserve"> Methods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7"/>
            </w:r>
            <w:r w:rsidR="00381EEA" w:rsidRPr="003B1E7C">
              <w:rPr>
                <w:rFonts w:ascii="Calibri" w:hAnsi="Calibri" w:cs="Calibri"/>
              </w:rPr>
              <w:t xml:space="preserve"> and Grading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8"/>
            </w:r>
            <w:r w:rsidR="00381EEA" w:rsidRPr="003B1E7C">
              <w:rPr>
                <w:rFonts w:ascii="Calibri" w:hAnsi="Calibri" w:cs="Calibri"/>
              </w:rPr>
              <w:t>:</w:t>
            </w:r>
          </w:p>
          <w:p w14:paraId="32055736" w14:textId="77777777" w:rsidR="003A21AC" w:rsidRDefault="00D5519E" w:rsidP="00714366">
            <w:pPr>
              <w:rPr>
                <w:sz w:val="20"/>
                <w:szCs w:val="20"/>
              </w:rPr>
            </w:pPr>
            <w:r w:rsidRPr="00D5519E">
              <w:rPr>
                <w:rFonts w:ascii="Calibri" w:hAnsi="Calibri" w:cs="Calibri"/>
              </w:rPr>
              <w:t>Class attendance</w:t>
            </w:r>
            <w:r>
              <w:rPr>
                <w:rFonts w:ascii="Calibri" w:hAnsi="Calibri" w:cs="Calibri"/>
              </w:rPr>
              <w:t xml:space="preserve">, </w:t>
            </w:r>
            <w:r w:rsidRPr="00D5519E">
              <w:rPr>
                <w:rFonts w:ascii="Calibri" w:hAnsi="Calibri" w:cs="Calibri"/>
              </w:rPr>
              <w:t xml:space="preserve">Seminar </w:t>
            </w:r>
            <w:r w:rsidRPr="002210A7">
              <w:rPr>
                <w:rFonts w:ascii="Calibri" w:hAnsi="Calibri" w:cs="Calibri"/>
              </w:rPr>
              <w:t>paper</w:t>
            </w:r>
            <w:r>
              <w:rPr>
                <w:rFonts w:ascii="Calibri" w:hAnsi="Calibri" w:cs="Calibri"/>
              </w:rPr>
              <w:t xml:space="preserve">, </w:t>
            </w:r>
            <w:r w:rsidRPr="00D5519E">
              <w:rPr>
                <w:rFonts w:ascii="Calibri" w:hAnsi="Calibri" w:cs="Calibri"/>
              </w:rPr>
              <w:t>Oral Exam</w:t>
            </w:r>
            <w:r>
              <w:rPr>
                <w:rFonts w:ascii="Calibri" w:hAnsi="Calibri" w:cs="Calibri"/>
              </w:rPr>
              <w:t xml:space="preserve">. </w:t>
            </w:r>
            <w:r w:rsidR="005B525A">
              <w:rPr>
                <w:rFonts w:ascii="Calibri" w:hAnsi="Calibri" w:cs="Calibri"/>
              </w:rPr>
              <w:t>Active participation in the seminars is required.</w:t>
            </w:r>
          </w:p>
          <w:p w14:paraId="11EF748F" w14:textId="77777777" w:rsidR="00EB59AF" w:rsidRDefault="00D5519E" w:rsidP="00714366">
            <w:pPr>
              <w:rPr>
                <w:rFonts w:ascii="Calibri" w:hAnsi="Calibri" w:cs="Calibri"/>
              </w:rPr>
            </w:pPr>
            <w:r w:rsidRPr="00D5519E">
              <w:rPr>
                <w:rFonts w:ascii="Calibri" w:hAnsi="Calibri" w:cs="Calibri"/>
              </w:rPr>
              <w:t>Standard</w:t>
            </w:r>
            <w:r>
              <w:rPr>
                <w:rFonts w:ascii="Calibri" w:hAnsi="Calibri" w:cs="Calibri"/>
              </w:rPr>
              <w:t xml:space="preserve"> grading system.</w:t>
            </w:r>
            <w:r w:rsidR="00435785">
              <w:rPr>
                <w:rFonts w:ascii="Calibri" w:hAnsi="Calibri" w:cs="Calibri"/>
              </w:rPr>
              <w:t xml:space="preserve"> C+</w:t>
            </w:r>
          </w:p>
        </w:tc>
      </w:tr>
      <w:tr w:rsidR="00714366" w14:paraId="3965B06D" w14:textId="77777777" w:rsidTr="00714366">
        <w:tc>
          <w:tcPr>
            <w:tcW w:w="9396" w:type="dxa"/>
            <w:gridSpan w:val="3"/>
          </w:tcPr>
          <w:p w14:paraId="7029429D" w14:textId="77777777" w:rsid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Learning Outcomes:</w:t>
            </w:r>
          </w:p>
          <w:p w14:paraId="79ED7133" w14:textId="77777777" w:rsidR="00700308" w:rsidRPr="00700308" w:rsidRDefault="00745A61" w:rsidP="00700308">
            <w:pPr>
              <w:rPr>
                <w:rFonts w:ascii="Calibri" w:hAnsi="Calibri" w:cs="Calibri"/>
              </w:rPr>
            </w:pPr>
            <w:r>
              <w:t>Describe and contextualize the historical development of Scandinavian</w:t>
            </w:r>
            <w:r>
              <w:br/>
            </w:r>
            <w:r>
              <w:lastRenderedPageBreak/>
              <w:t>cinematography using critical analysis. To complement the knowledge gained</w:t>
            </w:r>
            <w:r>
              <w:br/>
              <w:t xml:space="preserve">in undergraduate studies (focusing on Swedish literature and film). </w:t>
            </w:r>
            <w:r w:rsidR="00700308" w:rsidRPr="00700308">
              <w:rPr>
                <w:rFonts w:ascii="Calibri" w:hAnsi="Calibri" w:cs="Calibri"/>
              </w:rPr>
              <w:t>Interpret</w:t>
            </w:r>
            <w:r w:rsidR="00700308">
              <w:rPr>
                <w:rFonts w:ascii="Calibri" w:hAnsi="Calibri" w:cs="Calibri"/>
              </w:rPr>
              <w:t xml:space="preserve"> </w:t>
            </w:r>
            <w:r w:rsidR="00700308" w:rsidRPr="00700308">
              <w:rPr>
                <w:rFonts w:ascii="Calibri" w:hAnsi="Calibri" w:cs="Calibri"/>
              </w:rPr>
              <w:t>individual film achievements using a film-based analytical apparatus and comparative analysis in the context of European and world film production.</w:t>
            </w:r>
          </w:p>
          <w:p w14:paraId="251CAE96" w14:textId="77777777" w:rsidR="00700308" w:rsidRPr="00700308" w:rsidRDefault="00700308" w:rsidP="007003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700308">
              <w:rPr>
                <w:rFonts w:ascii="Calibri" w:hAnsi="Calibri" w:cs="Calibri"/>
              </w:rPr>
              <w:t xml:space="preserve">o deepen and critically </w:t>
            </w:r>
            <w:r w:rsidR="00851199">
              <w:rPr>
                <w:rFonts w:ascii="Calibri" w:hAnsi="Calibri" w:cs="Calibri"/>
              </w:rPr>
              <w:t>analyze</w:t>
            </w:r>
            <w:r w:rsidRPr="00700308">
              <w:rPr>
                <w:rFonts w:ascii="Calibri" w:hAnsi="Calibri" w:cs="Calibri"/>
              </w:rPr>
              <w:t xml:space="preserve"> knowledge about Scandinavian cultures, as well as other film cultures</w:t>
            </w:r>
            <w:r w:rsidR="00851199">
              <w:rPr>
                <w:rFonts w:ascii="Calibri" w:hAnsi="Calibri" w:cs="Calibri"/>
              </w:rPr>
              <w:t>.</w:t>
            </w:r>
          </w:p>
          <w:p w14:paraId="58626A1C" w14:textId="77777777" w:rsidR="00700308" w:rsidRPr="00700308" w:rsidRDefault="00525DA2" w:rsidP="007003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i</w:t>
            </w:r>
            <w:r w:rsidR="00700308" w:rsidRPr="00700308">
              <w:rPr>
                <w:rFonts w:ascii="Calibri" w:hAnsi="Calibri" w:cs="Calibri"/>
              </w:rPr>
              <w:t>ndependently collect and critically evaluate literature required for own research</w:t>
            </w:r>
            <w:r>
              <w:rPr>
                <w:rFonts w:ascii="Calibri" w:hAnsi="Calibri" w:cs="Calibri"/>
              </w:rPr>
              <w:t>.</w:t>
            </w:r>
          </w:p>
          <w:p w14:paraId="528DA829" w14:textId="77777777" w:rsidR="00700308" w:rsidRPr="00700308" w:rsidRDefault="00700308" w:rsidP="00700308">
            <w:pPr>
              <w:rPr>
                <w:rFonts w:ascii="Calibri" w:hAnsi="Calibri" w:cs="Calibri"/>
              </w:rPr>
            </w:pPr>
            <w:r w:rsidRPr="00700308">
              <w:rPr>
                <w:rFonts w:ascii="Calibri" w:hAnsi="Calibri" w:cs="Calibri"/>
              </w:rPr>
              <w:t>Communicate effectively oral and written presentation of the results of their own professional work in Swedish, English or Croatian</w:t>
            </w:r>
            <w:r w:rsidR="00525DA2">
              <w:rPr>
                <w:rFonts w:ascii="Calibri" w:hAnsi="Calibri" w:cs="Calibri"/>
              </w:rPr>
              <w:t>.</w:t>
            </w:r>
          </w:p>
          <w:p w14:paraId="1F790DA1" w14:textId="77777777" w:rsidR="00700308" w:rsidRPr="00700308" w:rsidRDefault="00525DA2" w:rsidP="007003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  <w:r w:rsidR="00700308" w:rsidRPr="00700308">
              <w:rPr>
                <w:rFonts w:ascii="Calibri" w:hAnsi="Calibri" w:cs="Calibri"/>
              </w:rPr>
              <w:t> develop language skills (films and additional literature for presentations and seminars in Swedish and other Scandinavian languages)</w:t>
            </w:r>
            <w:r>
              <w:rPr>
                <w:rFonts w:ascii="Calibri" w:hAnsi="Calibri" w:cs="Calibri"/>
              </w:rPr>
              <w:t>.</w:t>
            </w:r>
          </w:p>
          <w:p w14:paraId="020CA013" w14:textId="77777777" w:rsidR="00EB59AF" w:rsidRPr="00700308" w:rsidRDefault="00700308" w:rsidP="00714366">
            <w:pPr>
              <w:rPr>
                <w:rFonts w:ascii="Calibri" w:hAnsi="Calibri" w:cs="Calibri"/>
                <w:lang w:val="hr-HR"/>
              </w:rPr>
            </w:pPr>
            <w:r w:rsidRPr="00700308">
              <w:rPr>
                <w:rFonts w:ascii="Calibri" w:hAnsi="Calibri" w:cs="Calibri"/>
              </w:rPr>
              <w:t>Knowledge of basic features and historical re</w:t>
            </w:r>
            <w:r w:rsidR="00525DA2">
              <w:rPr>
                <w:rFonts w:ascii="Calibri" w:hAnsi="Calibri" w:cs="Calibri"/>
              </w:rPr>
              <w:t>view of Scandinavian cinema</w:t>
            </w:r>
            <w:r w:rsidRPr="00700308">
              <w:rPr>
                <w:rFonts w:ascii="Calibri" w:hAnsi="Calibri" w:cs="Calibri"/>
              </w:rPr>
              <w:t xml:space="preserve"> in the context of European and world film production.</w:t>
            </w:r>
          </w:p>
        </w:tc>
      </w:tr>
      <w:tr w:rsidR="00714366" w:rsidRPr="00D22AC9" w14:paraId="6F0BCD20" w14:textId="77777777" w:rsidTr="006F02A3">
        <w:trPr>
          <w:trHeight w:val="2114"/>
        </w:trPr>
        <w:tc>
          <w:tcPr>
            <w:tcW w:w="9396" w:type="dxa"/>
            <w:gridSpan w:val="3"/>
          </w:tcPr>
          <w:p w14:paraId="0D2E0FEF" w14:textId="77777777" w:rsidR="006F02A3" w:rsidRPr="005B525A" w:rsidRDefault="00CF743D" w:rsidP="00714366">
            <w:pPr>
              <w:rPr>
                <w:rFonts w:ascii="Calibri" w:hAnsi="Calibri" w:cs="Calibri"/>
              </w:rPr>
            </w:pPr>
            <w:r w:rsidRPr="005B525A">
              <w:rPr>
                <w:rFonts w:ascii="Calibri" w:hAnsi="Calibri" w:cs="Calibri"/>
              </w:rPr>
              <w:lastRenderedPageBreak/>
              <w:t>Reading list</w:t>
            </w:r>
            <w:r w:rsidR="00EB59AF" w:rsidRPr="005B525A">
              <w:rPr>
                <w:rFonts w:ascii="Calibri" w:hAnsi="Calibri" w:cs="Calibri"/>
              </w:rPr>
              <w:t>:</w:t>
            </w:r>
            <w:r w:rsidR="006F02A3" w:rsidRPr="005B525A">
              <w:rPr>
                <w:rFonts w:ascii="Calibri" w:hAnsi="Calibri" w:cs="Calibri"/>
              </w:rPr>
              <w:t xml:space="preserve"> </w:t>
            </w:r>
          </w:p>
          <w:p w14:paraId="3B25EF22" w14:textId="77777777" w:rsidR="006F02A3" w:rsidRPr="006F02A3" w:rsidRDefault="00CF743D" w:rsidP="006F02A3">
            <w:pPr>
              <w:rPr>
                <w:lang w:val="hr-HR"/>
              </w:rPr>
            </w:pPr>
            <w:r>
              <w:t xml:space="preserve">1. </w:t>
            </w:r>
            <w:r w:rsidR="006F02A3" w:rsidRPr="006F02A3">
              <w:t>Select</w:t>
            </w:r>
            <w:r w:rsidR="006F02A3">
              <w:t xml:space="preserve">ed </w:t>
            </w:r>
            <w:r w:rsidR="006F02A3" w:rsidRPr="006F02A3">
              <w:t xml:space="preserve">short texts on </w:t>
            </w:r>
            <w:r>
              <w:t xml:space="preserve">given </w:t>
            </w:r>
            <w:r w:rsidR="006F02A3" w:rsidRPr="006F02A3">
              <w:t xml:space="preserve">topics </w:t>
            </w:r>
          </w:p>
          <w:p w14:paraId="3953C4BE" w14:textId="77777777" w:rsidR="00714366" w:rsidRDefault="00CF743D" w:rsidP="00714366">
            <w:pPr>
              <w:rPr>
                <w:rFonts w:ascii="Calibri" w:hAnsi="Calibri" w:cs="Calibri"/>
              </w:rPr>
            </w:pPr>
            <w:r w:rsidRPr="00593EBC">
              <w:rPr>
                <w:rFonts w:ascii="Calibri" w:hAnsi="Calibri" w:cs="Calibri"/>
                <w:lang w:val="sv-SE"/>
              </w:rPr>
              <w:t>2</w:t>
            </w:r>
            <w:r w:rsidRPr="00CF743D">
              <w:rPr>
                <w:rFonts w:ascii="Calibri" w:hAnsi="Calibri" w:cs="Calibri"/>
                <w:lang w:val="sv-SE"/>
              </w:rPr>
              <w:t xml:space="preserve">. </w:t>
            </w:r>
            <w:r w:rsidR="006F02A3" w:rsidRPr="00CF743D">
              <w:rPr>
                <w:rFonts w:ascii="Calibri" w:hAnsi="Calibri" w:cs="Calibri"/>
                <w:lang w:val="sv-SE"/>
              </w:rPr>
              <w:t xml:space="preserve">Soila, Tytti, Iverson, Gunnar and Söderberg Widding, Astrid (1998.) </w:t>
            </w:r>
            <w:r w:rsidR="006F02A3" w:rsidRPr="006F02A3">
              <w:rPr>
                <w:rFonts w:ascii="Calibri" w:hAnsi="Calibri" w:cs="Calibri"/>
              </w:rPr>
              <w:t>Nordic National Cinemas, London: Routledge.</w:t>
            </w:r>
          </w:p>
          <w:p w14:paraId="5DAF7B3F" w14:textId="77777777" w:rsidR="00CF743D" w:rsidRDefault="00CF743D" w:rsidP="00714366">
            <w:pPr>
              <w:rPr>
                <w:rFonts w:ascii="Calibri" w:hAnsi="Calibri" w:cs="Calibri"/>
              </w:rPr>
            </w:pPr>
          </w:p>
          <w:p w14:paraId="30181201" w14:textId="77777777" w:rsidR="00CF743D" w:rsidRDefault="00CF743D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Complementary:</w:t>
            </w:r>
          </w:p>
          <w:p w14:paraId="26777C58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Badley, Linda (2010) Lars von Trier, Urbana: University of Illinois Press. </w:t>
            </w:r>
          </w:p>
          <w:p w14:paraId="50E9F67D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Brakhage, Stan (1972) The Brakhage Lectures, London: The Good Lion. (</w:t>
            </w:r>
            <w:r>
              <w:rPr>
                <w:rFonts w:ascii="Calibri" w:hAnsi="Calibri" w:cs="Calibri"/>
                <w:lang w:val="hr-HR"/>
              </w:rPr>
              <w:t>chapter on</w:t>
            </w:r>
            <w:r w:rsidRPr="00CF743D">
              <w:rPr>
                <w:rFonts w:ascii="Calibri" w:hAnsi="Calibri" w:cs="Calibri"/>
                <w:lang w:val="hr-HR"/>
              </w:rPr>
              <w:t xml:space="preserve"> Dreyer)</w:t>
            </w:r>
          </w:p>
          <w:p w14:paraId="3AA1EDEE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Bordwell, David </w:t>
            </w:r>
            <w:r>
              <w:rPr>
                <w:rFonts w:ascii="Calibri" w:hAnsi="Calibri" w:cs="Calibri"/>
                <w:lang w:val="hr-HR"/>
              </w:rPr>
              <w:t>and</w:t>
            </w:r>
            <w:r w:rsidRPr="00CF743D">
              <w:rPr>
                <w:rFonts w:ascii="Calibri" w:hAnsi="Calibri" w:cs="Calibri"/>
                <w:lang w:val="hr-HR"/>
              </w:rPr>
              <w:t xml:space="preserve"> Thompson, Kristin (2003) Film History. An Introduction (Second Edition), New York: McGraw-Hill.</w:t>
            </w:r>
          </w:p>
          <w:p w14:paraId="7131991A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Bordwell, David (1981) Films of Carl Theodor Dreyer, University of California Press.</w:t>
            </w:r>
          </w:p>
          <w:p w14:paraId="16CB6BE4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Björkman, S., Sahlin, F., Lindblad, H. (</w:t>
            </w:r>
            <w:r w:rsidR="00EF2939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 (2002) Fucking Film – The New Swedish Film. Stockholm: Alfabeta Anamma.</w:t>
            </w:r>
          </w:p>
          <w:p w14:paraId="14F6BD9B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Björkman, Stig (1977) Film in Sweden: The New Directors, London: The Tantiv Press/South Brunswick and New York: AS Barnes and Co. (</w:t>
            </w:r>
            <w:r w:rsidR="00CE0F38">
              <w:rPr>
                <w:rFonts w:ascii="Calibri" w:hAnsi="Calibri" w:cs="Calibri"/>
                <w:lang w:val="hr-HR"/>
              </w:rPr>
              <w:t>Swe.: Björkman, Stig (1978</w:t>
            </w:r>
            <w:r w:rsidRPr="00CF743D">
              <w:rPr>
                <w:rFonts w:ascii="Calibri" w:hAnsi="Calibri" w:cs="Calibri"/>
                <w:lang w:val="hr-HR"/>
              </w:rPr>
              <w:t>) Nya bilder och dagsljus: tio svenska regissörsporträtt, Stockholm: PAN/Norstedt)</w:t>
            </w:r>
          </w:p>
          <w:p w14:paraId="58D4AA7D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Schepelern, Peter (2004</w:t>
            </w:r>
            <w:r w:rsidR="00CE0F38">
              <w:rPr>
                <w:rFonts w:ascii="Calibri" w:hAnsi="Calibri" w:cs="Calibri"/>
                <w:lang w:val="hr-HR"/>
              </w:rPr>
              <w:t>) Postwar Scandinavian Cinema, in</w:t>
            </w:r>
            <w:r w:rsidRPr="00CF743D">
              <w:rPr>
                <w:rFonts w:ascii="Calibri" w:hAnsi="Calibri" w:cs="Calibri"/>
                <w:lang w:val="hr-HR"/>
              </w:rPr>
              <w:t>: Ezra, Elizabeth (</w:t>
            </w:r>
            <w:r w:rsidR="00EF2939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 European Cinema, Oxford: Oxford UP, (139-156.)</w:t>
            </w:r>
          </w:p>
          <w:p w14:paraId="719D6CAD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Nordfjörd, Björn (2010) Dagur Kari's Noi the Albino, Seattle, Copenhagen: University of Washington; University of Copenhagen.</w:t>
            </w:r>
          </w:p>
          <w:p w14:paraId="3F5F1EEF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Nestingen, Andrew K. </w:t>
            </w:r>
            <w:r w:rsidR="00EF2939">
              <w:rPr>
                <w:rFonts w:ascii="Calibri" w:hAnsi="Calibri" w:cs="Calibri"/>
                <w:lang w:val="hr-HR"/>
              </w:rPr>
              <w:t>and</w:t>
            </w:r>
            <w:r w:rsidRPr="00CF743D">
              <w:rPr>
                <w:rFonts w:ascii="Calibri" w:hAnsi="Calibri" w:cs="Calibri"/>
                <w:lang w:val="hr-HR"/>
              </w:rPr>
              <w:t xml:space="preserve"> Elkington Trevor Glen (2005) Transnational Cinema in a Global North: Nordic Cinema in Transition, Detroit: Wayne State UP.</w:t>
            </w:r>
          </w:p>
          <w:p w14:paraId="3F329ADB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Marklund, Anders </w:t>
            </w:r>
            <w:r w:rsidR="00EF2939">
              <w:rPr>
                <w:rFonts w:ascii="Calibri" w:hAnsi="Calibri" w:cs="Calibri"/>
                <w:lang w:val="hr-HR"/>
              </w:rPr>
              <w:t xml:space="preserve"> and</w:t>
            </w:r>
            <w:r w:rsidR="00EF2939" w:rsidRPr="00CF743D">
              <w:rPr>
                <w:rFonts w:ascii="Calibri" w:hAnsi="Calibri" w:cs="Calibri"/>
                <w:lang w:val="hr-HR"/>
              </w:rPr>
              <w:t xml:space="preserve"> </w:t>
            </w:r>
            <w:r w:rsidRPr="00CF743D">
              <w:rPr>
                <w:rFonts w:ascii="Calibri" w:hAnsi="Calibri" w:cs="Calibri"/>
                <w:lang w:val="hr-HR"/>
              </w:rPr>
              <w:t>Larsson, Mariah (2010) Swedish Film: An Introduction and Reader, Lund: Nordic Academic Press.</w:t>
            </w:r>
          </w:p>
          <w:p w14:paraId="136B89D8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Koskinen, Maaret (2008) Ingmar Bergman Revisited: Performance, Cinema and the Arts, London: Wallflower Press.</w:t>
            </w:r>
          </w:p>
          <w:p w14:paraId="1F93E57C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Koskinen, Maaret (2009) Ingmar Bergman's The Silence: Pictures in the Typewriter, Writings on the Screen, Seattle/London: University of Washington Press.</w:t>
            </w:r>
          </w:p>
          <w:p w14:paraId="07D77A80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Hjort, Mette (2005) Small Nation, Global Cinema, The New Danish Cinema, Minneapolis: University of Minnesota Press.</w:t>
            </w:r>
          </w:p>
          <w:p w14:paraId="708339AB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Hedling, Erik (</w:t>
            </w:r>
            <w:r w:rsidR="00BF61E3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 (1998) Blågult flimmer, Lund: Studentlitteratur.</w:t>
            </w:r>
          </w:p>
          <w:p w14:paraId="754845A9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Furhammar, Leif (1991) Filmen i Sverige: En Historia i Tio Kapitel. Höganäs: Wiken.</w:t>
            </w:r>
          </w:p>
          <w:p w14:paraId="70A55E00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Elsaesser, Thomas (2005) European Cinema: Face to Face with Hollyw</w:t>
            </w:r>
            <w:r w:rsidR="00CE0F38">
              <w:rPr>
                <w:rFonts w:ascii="Calibri" w:hAnsi="Calibri" w:cs="Calibri"/>
                <w:lang w:val="hr-HR"/>
              </w:rPr>
              <w:t>ood, Amsterdam: Amsterdam UP. (Chapter on Bergman</w:t>
            </w:r>
            <w:r w:rsidRPr="00CF743D">
              <w:rPr>
                <w:rFonts w:ascii="Calibri" w:hAnsi="Calibri" w:cs="Calibri"/>
                <w:lang w:val="hr-HR"/>
              </w:rPr>
              <w:t>: Person and Persona)</w:t>
            </w:r>
          </w:p>
          <w:p w14:paraId="13141EB6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Cowie, Peter (1992) Scandinavian cinema: a survey of the films and film-makers of Denmark, Finland, Iceland, Norway, and Sweden, London: Hollywood: Tantivy Press</w:t>
            </w:r>
          </w:p>
          <w:p w14:paraId="05EAF793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Schrader, Paul (1972) Transcendental Style in Film: Ozu, Bresson, Dreyer. Berkeley, University of California Press</w:t>
            </w:r>
          </w:p>
          <w:p w14:paraId="22287282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Soila, Tytti (</w:t>
            </w:r>
            <w:r w:rsidR="00BF61E3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 (2005) The Cinema of Scandinavia, London: Wallflower Press</w:t>
            </w:r>
          </w:p>
          <w:p w14:paraId="04BDB03C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>Stevenson, Jack (2010) Scandinavian Blue - The Erotic Cinema of Sweden and Denmark in the 1960s and 1970s, Jefferson, NC: McFarland &amp; Co Inc.</w:t>
            </w:r>
          </w:p>
          <w:p w14:paraId="7C1E9A73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Sundholm, John, Thorsen, Isak, Andersson, Lars Gustaf, Hedling, Olof </w:t>
            </w:r>
            <w:r w:rsidR="00BF61E3">
              <w:rPr>
                <w:rFonts w:ascii="Calibri" w:hAnsi="Calibri" w:cs="Calibri"/>
                <w:lang w:val="hr-HR"/>
              </w:rPr>
              <w:t xml:space="preserve"> and</w:t>
            </w:r>
            <w:r w:rsidR="00BF61E3" w:rsidRPr="00CF743D">
              <w:rPr>
                <w:rFonts w:ascii="Calibri" w:hAnsi="Calibri" w:cs="Calibri"/>
                <w:lang w:val="hr-HR"/>
              </w:rPr>
              <w:t xml:space="preserve"> </w:t>
            </w:r>
            <w:r w:rsidRPr="00CF743D">
              <w:rPr>
                <w:rFonts w:ascii="Calibri" w:hAnsi="Calibri" w:cs="Calibri"/>
                <w:lang w:val="hr-HR"/>
              </w:rPr>
              <w:t>Iversen, Gunnar et al. (2012) Historical Dictionary of Scandinavian Cinema, London: Scarecrow Press</w:t>
            </w:r>
          </w:p>
          <w:p w14:paraId="3D1837DF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lastRenderedPageBreak/>
              <w:t>Tapper, Michael (2014) Swedish Cops: From Sjöwall and Wahlöö to Stieg Larsson, Chicago/Bristol: Intellect</w:t>
            </w:r>
          </w:p>
          <w:p w14:paraId="652436DB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Tomić, Janica (2010) From Scandinavian Detective Films to The Wire, </w:t>
            </w:r>
            <w:r w:rsidR="00CE0F38">
              <w:rPr>
                <w:rFonts w:ascii="Calibri" w:hAnsi="Calibri" w:cs="Calibri"/>
                <w:lang w:val="hr-HR"/>
              </w:rPr>
              <w:t>in</w:t>
            </w:r>
            <w:r w:rsidRPr="00CF743D">
              <w:rPr>
                <w:rFonts w:ascii="Calibri" w:hAnsi="Calibri" w:cs="Calibri"/>
                <w:lang w:val="hr-HR"/>
              </w:rPr>
              <w:t>: Azcona, María del Mar i Deleyto, Celestino (</w:t>
            </w:r>
            <w:r w:rsidR="00CE0F38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.): Generic Attractions, New Essays on Film Genre Criticism, Paris: Michel Houdiard, (247-259)</w:t>
            </w:r>
          </w:p>
          <w:p w14:paraId="39596F63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Vitali, Valentina </w:t>
            </w:r>
            <w:r w:rsidR="00CE0F38">
              <w:rPr>
                <w:rFonts w:ascii="Calibri" w:hAnsi="Calibri" w:cs="Calibri"/>
                <w:lang w:val="hr-HR"/>
              </w:rPr>
              <w:t>and</w:t>
            </w:r>
            <w:r w:rsidRPr="00CF743D">
              <w:rPr>
                <w:rFonts w:ascii="Calibri" w:hAnsi="Calibri" w:cs="Calibri"/>
                <w:lang w:val="hr-HR"/>
              </w:rPr>
              <w:t xml:space="preserve"> Willemen, Paul (</w:t>
            </w:r>
            <w:r w:rsidR="00213213">
              <w:rPr>
                <w:rFonts w:ascii="Calibri" w:hAnsi="Calibri" w:cs="Calibri"/>
                <w:lang w:val="hr-HR"/>
              </w:rPr>
              <w:t>ed</w:t>
            </w:r>
            <w:r w:rsidRPr="00CF743D">
              <w:rPr>
                <w:rFonts w:ascii="Calibri" w:hAnsi="Calibri" w:cs="Calibri"/>
                <w:lang w:val="hr-HR"/>
              </w:rPr>
              <w:t>.) (2006) Theorising National Cinema, London: BFI Publishing. (</w:t>
            </w:r>
            <w:r w:rsidR="00CE0F38">
              <w:rPr>
                <w:rFonts w:ascii="Calibri" w:hAnsi="Calibri" w:cs="Calibri"/>
                <w:lang w:val="hr-HR"/>
              </w:rPr>
              <w:t>selected chapters by Philip Rosen</w:t>
            </w:r>
            <w:r w:rsidRPr="00CF743D">
              <w:rPr>
                <w:rFonts w:ascii="Calibri" w:hAnsi="Calibri" w:cs="Calibri"/>
                <w:lang w:val="hr-HR"/>
              </w:rPr>
              <w:t>, Paul Willemen</w:t>
            </w:r>
            <w:r w:rsidR="00CE0F38">
              <w:rPr>
                <w:rFonts w:ascii="Calibri" w:hAnsi="Calibri" w:cs="Calibri"/>
                <w:lang w:val="hr-HR"/>
              </w:rPr>
              <w:t xml:space="preserve"> and M</w:t>
            </w:r>
            <w:r w:rsidR="000A7BD4">
              <w:rPr>
                <w:rFonts w:ascii="Calibri" w:hAnsi="Calibri" w:cs="Calibri"/>
                <w:lang w:val="hr-HR"/>
              </w:rPr>
              <w:t>itsu</w:t>
            </w:r>
            <w:r w:rsidR="001E5F21">
              <w:rPr>
                <w:rFonts w:ascii="Calibri" w:hAnsi="Calibri" w:cs="Calibri"/>
                <w:lang w:val="hr-HR"/>
              </w:rPr>
              <w:t>hiro</w:t>
            </w:r>
            <w:r w:rsidR="00CE0F38">
              <w:rPr>
                <w:rFonts w:ascii="Calibri" w:hAnsi="Calibri" w:cs="Calibri"/>
                <w:lang w:val="hr-HR"/>
              </w:rPr>
              <w:t xml:space="preserve"> Yoshimoto</w:t>
            </w:r>
            <w:r w:rsidRPr="00CF743D">
              <w:rPr>
                <w:rFonts w:ascii="Calibri" w:hAnsi="Calibri" w:cs="Calibri"/>
                <w:lang w:val="hr-HR"/>
              </w:rPr>
              <w:t>)</w:t>
            </w:r>
          </w:p>
          <w:p w14:paraId="3712FE29" w14:textId="77777777" w:rsidR="00CF743D" w:rsidRPr="00CF743D" w:rsidRDefault="00CF743D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CF743D">
              <w:rPr>
                <w:rFonts w:ascii="Calibri" w:hAnsi="Calibri" w:cs="Calibri"/>
                <w:lang w:val="hr-HR"/>
              </w:rPr>
              <w:t xml:space="preserve">Wood, Robin </w:t>
            </w:r>
            <w:r w:rsidR="00213213">
              <w:rPr>
                <w:rFonts w:ascii="Calibri" w:hAnsi="Calibri" w:cs="Calibri"/>
                <w:lang w:val="hr-HR"/>
              </w:rPr>
              <w:t xml:space="preserve"> and</w:t>
            </w:r>
            <w:r w:rsidR="00213213" w:rsidRPr="00CF743D">
              <w:rPr>
                <w:rFonts w:ascii="Calibri" w:hAnsi="Calibri" w:cs="Calibri"/>
                <w:lang w:val="hr-HR"/>
              </w:rPr>
              <w:t xml:space="preserve"> </w:t>
            </w:r>
            <w:r w:rsidRPr="00CF743D">
              <w:rPr>
                <w:rFonts w:ascii="Calibri" w:hAnsi="Calibri" w:cs="Calibri"/>
                <w:lang w:val="hr-HR"/>
              </w:rPr>
              <w:t>Grant, Barry Keith (2013.) Ingmar Bergman, Detroit: Wayne State University Press.</w:t>
            </w:r>
          </w:p>
          <w:p w14:paraId="6EAD3286" w14:textId="77777777" w:rsidR="00CF743D" w:rsidRPr="00CF743D" w:rsidRDefault="00D22AC9" w:rsidP="00CF743D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E-journals </w:t>
            </w:r>
            <w:r w:rsidR="00CF743D" w:rsidRPr="00CF743D">
              <w:rPr>
                <w:rFonts w:ascii="Calibri" w:hAnsi="Calibri" w:cs="Calibri"/>
                <w:lang w:val="hr-HR"/>
              </w:rPr>
              <w:t xml:space="preserve">http://www.knjiznice.ffzg.hr/ecasopisi </w:t>
            </w:r>
            <w:r w:rsidR="006562E1">
              <w:rPr>
                <w:rFonts w:ascii="Calibri" w:hAnsi="Calibri" w:cs="Calibri"/>
                <w:lang w:val="hr-HR"/>
              </w:rPr>
              <w:t>Recommended</w:t>
            </w:r>
            <w:r w:rsidR="00CF743D" w:rsidRPr="00CF743D">
              <w:rPr>
                <w:rFonts w:ascii="Calibri" w:hAnsi="Calibri" w:cs="Calibri"/>
                <w:lang w:val="hr-HR"/>
              </w:rPr>
              <w:t>: Film and Literature Index (EBSCO)</w:t>
            </w:r>
          </w:p>
          <w:p w14:paraId="05783166" w14:textId="77777777" w:rsidR="00EB59AF" w:rsidRPr="00D22AC9" w:rsidRDefault="00EB59AF" w:rsidP="006F02A3">
            <w:pPr>
              <w:rPr>
                <w:rFonts w:ascii="Calibri" w:hAnsi="Calibri" w:cs="Calibri"/>
              </w:rPr>
            </w:pPr>
          </w:p>
        </w:tc>
      </w:tr>
    </w:tbl>
    <w:p w14:paraId="32C931DF" w14:textId="77777777" w:rsidR="00F117E5" w:rsidRDefault="00F117E5" w:rsidP="00714366"/>
    <w:sectPr w:rsidR="00F117E5" w:rsidSect="00D12733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50B23" w14:textId="77777777" w:rsidR="00BC3DA4" w:rsidRDefault="00BC3DA4" w:rsidP="00714366">
      <w:pPr>
        <w:spacing w:after="0" w:line="240" w:lineRule="auto"/>
      </w:pPr>
      <w:r>
        <w:separator/>
      </w:r>
    </w:p>
  </w:endnote>
  <w:endnote w:type="continuationSeparator" w:id="0">
    <w:p w14:paraId="2D8E7D75" w14:textId="77777777" w:rsidR="00BC3DA4" w:rsidRDefault="00BC3DA4" w:rsidP="007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8986" w14:textId="77777777" w:rsidR="00BC3DA4" w:rsidRDefault="00BC3DA4" w:rsidP="00714366">
      <w:pPr>
        <w:spacing w:after="0" w:line="240" w:lineRule="auto"/>
      </w:pPr>
      <w:r>
        <w:separator/>
      </w:r>
    </w:p>
  </w:footnote>
  <w:footnote w:type="continuationSeparator" w:id="0">
    <w:p w14:paraId="61DB54D7" w14:textId="77777777" w:rsidR="00BC3DA4" w:rsidRDefault="00BC3DA4" w:rsidP="00714366">
      <w:pPr>
        <w:spacing w:after="0" w:line="240" w:lineRule="auto"/>
      </w:pPr>
      <w:r>
        <w:continuationSeparator/>
      </w:r>
    </w:p>
  </w:footnote>
  <w:footnote w:id="1">
    <w:p w14:paraId="06566551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3B79802F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3F3767E9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4B9A3182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756A1639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01E38C49" w14:textId="77777777" w:rsidR="00700308" w:rsidRDefault="00700308" w:rsidP="007E09CB">
      <w:pPr>
        <w:spacing w:after="0" w:line="240" w:lineRule="auto"/>
        <w:jc w:val="both"/>
        <w:rPr>
          <w:sz w:val="20"/>
          <w:szCs w:val="20"/>
        </w:rPr>
      </w:pPr>
    </w:p>
    <w:p w14:paraId="11897E80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BA,</w:t>
      </w:r>
      <w:r w:rsidR="00C64195">
        <w:rPr>
          <w:sz w:val="20"/>
          <w:szCs w:val="20"/>
        </w:rPr>
        <w:t xml:space="preserve"> MA, PhD; 2</w:t>
      </w:r>
      <w:r w:rsidR="00C64195" w:rsidRPr="00C64195">
        <w:rPr>
          <w:sz w:val="20"/>
          <w:szCs w:val="20"/>
          <w:vertAlign w:val="superscript"/>
        </w:rPr>
        <w:t>nd</w:t>
      </w:r>
      <w:r w:rsidR="00C64195">
        <w:rPr>
          <w:sz w:val="20"/>
          <w:szCs w:val="20"/>
        </w:rPr>
        <w:t xml:space="preserve"> </w:t>
      </w:r>
      <w:r w:rsidRPr="00D12733">
        <w:rPr>
          <w:sz w:val="20"/>
          <w:szCs w:val="20"/>
        </w:rPr>
        <w:t>year</w:t>
      </w:r>
      <w:r w:rsidR="00C64195">
        <w:rPr>
          <w:sz w:val="20"/>
          <w:szCs w:val="20"/>
        </w:rPr>
        <w:t xml:space="preserve"> …</w:t>
      </w:r>
    </w:p>
  </w:footnote>
  <w:footnote w:id="2">
    <w:p w14:paraId="62C6ADE5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Winter, Summer, Academic Year</w:t>
      </w:r>
    </w:p>
  </w:footnote>
  <w:footnote w:id="3">
    <w:p w14:paraId="7B0A2046" w14:textId="77777777" w:rsidR="00C64195" w:rsidRPr="00C64195" w:rsidRDefault="00C64195" w:rsidP="007E09CB">
      <w:pPr>
        <w:pStyle w:val="Fotnotstext"/>
        <w:jc w:val="both"/>
        <w:rPr>
          <w:lang w:val="hr-HR"/>
        </w:rPr>
      </w:pPr>
      <w:r>
        <w:rPr>
          <w:rStyle w:val="Fotnotsreferens"/>
        </w:rPr>
        <w:footnoteRef/>
      </w:r>
      <w:r>
        <w:t xml:space="preserve"> Teaching language according to </w:t>
      </w:r>
      <w:r w:rsidR="007E09CB">
        <w:t>the regular</w:t>
      </w:r>
      <w:r>
        <w:t xml:space="preserve"> programme (e.g. Croatian, French, Slovenian…)</w:t>
      </w:r>
    </w:p>
  </w:footnote>
  <w:footnote w:id="4">
    <w:p w14:paraId="4E8527D2" w14:textId="77777777" w:rsidR="007254DF" w:rsidRPr="00D12733" w:rsidRDefault="007254D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Direct instructions: teaching through lectures/seminars/exercises and teacher-led demonstrations in the classroom; Presentations; Classroom discussion; E-Learning (Omega, etc.); Fieldwork; Other (specify)</w:t>
      </w:r>
    </w:p>
  </w:footnote>
  <w:footnote w:id="5">
    <w:p w14:paraId="65559002" w14:textId="77777777" w:rsidR="00BC2B7F" w:rsidRPr="00D12733" w:rsidRDefault="00BC2B7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</w:t>
      </w:r>
      <w:r w:rsidRPr="00D12733">
        <w:rPr>
          <w:lang w:val="hr-HR"/>
        </w:rPr>
        <w:t>According to CEFR (e.g. English B2, German C1…)</w:t>
      </w:r>
    </w:p>
  </w:footnote>
  <w:footnote w:id="6">
    <w:p w14:paraId="1E828C13" w14:textId="77777777" w:rsidR="00C64195" w:rsidRDefault="00BC2B7F" w:rsidP="007E09CB">
      <w:pPr>
        <w:pStyle w:val="Fotnotstext"/>
        <w:jc w:val="both"/>
      </w:pPr>
      <w:r w:rsidRPr="00D12733">
        <w:rPr>
          <w:rStyle w:val="Fotnotsreferens"/>
        </w:rPr>
        <w:footnoteRef/>
      </w:r>
      <w:r w:rsidR="00C64195">
        <w:t xml:space="preserve"> </w:t>
      </w:r>
      <w:r w:rsidR="00C64195" w:rsidRPr="00D933EA">
        <w:rPr>
          <w:b/>
        </w:rPr>
        <w:t>Language options for guest (exchange) students):</w:t>
      </w:r>
    </w:p>
    <w:p w14:paraId="1144653C" w14:textId="77777777" w:rsidR="00D12733" w:rsidRPr="00D12733" w:rsidRDefault="00D12733" w:rsidP="007E09CB">
      <w:pPr>
        <w:pStyle w:val="Fotnotstext"/>
        <w:jc w:val="both"/>
      </w:pPr>
      <w:r w:rsidRPr="00D12733">
        <w:t>L1 - All teaching activities will be held in regular teaching language. However, guest (</w:t>
      </w:r>
      <w:r w:rsidRPr="00D06704">
        <w:t>exchange) students will have the opportunity to attend additional consultations with the lecturer and teaching assistants in foreign language</w:t>
      </w:r>
      <w:r w:rsidR="00CD030E" w:rsidRPr="00D06704">
        <w:t xml:space="preserve"> (indicated as teaching language</w:t>
      </w:r>
      <w:r w:rsidR="00662550" w:rsidRPr="00D06704">
        <w:t xml:space="preserve"> for guest (exchange) students</w:t>
      </w:r>
      <w:r w:rsidR="00E471DE" w:rsidRPr="00D06704">
        <w:t>)</w:t>
      </w:r>
      <w:r w:rsidR="00662550" w:rsidRPr="00D06704">
        <w:t>,</w:t>
      </w:r>
      <w:r w:rsidRPr="00D06704">
        <w:t xml:space="preserve"> to help master the course materials. Additionally,</w:t>
      </w:r>
      <w:r w:rsidRPr="00D12733">
        <w:t xml:space="preserve"> the lecturer will refer guest (exchange) students to the corresponding literature in foreign </w:t>
      </w:r>
      <w:r w:rsidR="00AB04BF" w:rsidRPr="00D12733">
        <w:t>language</w:t>
      </w:r>
      <w:r w:rsidR="00AB04BF">
        <w:t>,</w:t>
      </w:r>
      <w:r w:rsidRPr="00D12733">
        <w:t xml:space="preserve"> as well as give them the possibility of taking the associated exams in foreign language.</w:t>
      </w:r>
    </w:p>
    <w:p w14:paraId="07EC6858" w14:textId="77777777" w:rsidR="00BC2B7F" w:rsidRPr="00D12733" w:rsidRDefault="00D12733" w:rsidP="007E09CB">
      <w:pPr>
        <w:pStyle w:val="Fotnotstext"/>
        <w:jc w:val="both"/>
        <w:rPr>
          <w:lang w:val="hr-HR"/>
        </w:rPr>
      </w:pPr>
      <w:r w:rsidRPr="00D12733">
        <w:t>L2 - All teaching activities will be held</w:t>
      </w:r>
      <w:r w:rsidR="00C64195">
        <w:t xml:space="preserve"> </w:t>
      </w:r>
      <w:r w:rsidR="00C64195" w:rsidRPr="00D12733">
        <w:t>in</w:t>
      </w:r>
      <w:r w:rsidRPr="00D12733">
        <w:t xml:space="preserve"> regular teaching language</w:t>
      </w:r>
      <w:r w:rsidR="00C64195">
        <w:t xml:space="preserve"> only</w:t>
      </w:r>
      <w:r w:rsidRPr="00D12733">
        <w:t>.</w:t>
      </w:r>
    </w:p>
  </w:footnote>
  <w:footnote w:id="7">
    <w:p w14:paraId="136BBEA1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Class attendance, Essay, Preliminary exam, Seminar paper, Practical work, Written exam, Oral Exam, Other (specify)</w:t>
      </w:r>
    </w:p>
  </w:footnote>
  <w:footnote w:id="8">
    <w:p w14:paraId="277CE4FB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Standard - the institutional grading system (5 Excellent; 4 Very good; 3 Good; 2 Sufficient; 1 Fail)</w:t>
      </w:r>
    </w:p>
    <w:p w14:paraId="7D693763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 xml:space="preserve">Additional: </w:t>
      </w:r>
    </w:p>
    <w:p w14:paraId="487ED8BC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RA - Regular Attendance (No ECTS credits awarded for course attendance only)</w:t>
      </w:r>
    </w:p>
    <w:p w14:paraId="454D833B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 - Completed (Student has completed proscribed obligations/no ECTS credits awarded)</w:t>
      </w:r>
    </w:p>
    <w:p w14:paraId="49B04D98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C+ – Completed + ECTS (Student has completed proscribed obligations + ECTS credits awarded)</w:t>
      </w:r>
    </w:p>
    <w:p w14:paraId="0B9D8DEC" w14:textId="77777777" w:rsidR="00D12733" w:rsidRPr="00D12733" w:rsidRDefault="00D12733">
      <w:pPr>
        <w:pStyle w:val="Fotnots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F703B"/>
    <w:multiLevelType w:val="multilevel"/>
    <w:tmpl w:val="B818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47B4"/>
    <w:multiLevelType w:val="multilevel"/>
    <w:tmpl w:val="F8B4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0986">
    <w:abstractNumId w:val="0"/>
  </w:num>
  <w:num w:numId="2" w16cid:durableId="63113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66"/>
    <w:rsid w:val="00034999"/>
    <w:rsid w:val="0007245F"/>
    <w:rsid w:val="000961CC"/>
    <w:rsid w:val="000A7BD4"/>
    <w:rsid w:val="000E104F"/>
    <w:rsid w:val="00120BC5"/>
    <w:rsid w:val="0013307E"/>
    <w:rsid w:val="00195BAC"/>
    <w:rsid w:val="001B4AA1"/>
    <w:rsid w:val="001E5F21"/>
    <w:rsid w:val="00213213"/>
    <w:rsid w:val="002210A7"/>
    <w:rsid w:val="00230887"/>
    <w:rsid w:val="00297469"/>
    <w:rsid w:val="002B72E5"/>
    <w:rsid w:val="003052E9"/>
    <w:rsid w:val="0035298C"/>
    <w:rsid w:val="003804F7"/>
    <w:rsid w:val="00381EEA"/>
    <w:rsid w:val="003A21AC"/>
    <w:rsid w:val="003B1E7C"/>
    <w:rsid w:val="003D0F1E"/>
    <w:rsid w:val="003E03D6"/>
    <w:rsid w:val="00433DF4"/>
    <w:rsid w:val="00435785"/>
    <w:rsid w:val="00465279"/>
    <w:rsid w:val="004C2019"/>
    <w:rsid w:val="00525147"/>
    <w:rsid w:val="00525DA2"/>
    <w:rsid w:val="005831A6"/>
    <w:rsid w:val="00593EBC"/>
    <w:rsid w:val="005B525A"/>
    <w:rsid w:val="005D7B91"/>
    <w:rsid w:val="0062222F"/>
    <w:rsid w:val="006562E1"/>
    <w:rsid w:val="00662550"/>
    <w:rsid w:val="00675172"/>
    <w:rsid w:val="00686B31"/>
    <w:rsid w:val="006F02A3"/>
    <w:rsid w:val="00700308"/>
    <w:rsid w:val="00714366"/>
    <w:rsid w:val="007254DF"/>
    <w:rsid w:val="00745A61"/>
    <w:rsid w:val="00763A10"/>
    <w:rsid w:val="007E09CB"/>
    <w:rsid w:val="00851199"/>
    <w:rsid w:val="008932AE"/>
    <w:rsid w:val="008E46C1"/>
    <w:rsid w:val="009014ED"/>
    <w:rsid w:val="009047B0"/>
    <w:rsid w:val="0092582F"/>
    <w:rsid w:val="00961EE5"/>
    <w:rsid w:val="00966206"/>
    <w:rsid w:val="00966E70"/>
    <w:rsid w:val="009977C8"/>
    <w:rsid w:val="009C6004"/>
    <w:rsid w:val="00A01504"/>
    <w:rsid w:val="00AB04BF"/>
    <w:rsid w:val="00AC000C"/>
    <w:rsid w:val="00AC6801"/>
    <w:rsid w:val="00AD64A3"/>
    <w:rsid w:val="00B424D4"/>
    <w:rsid w:val="00BC2B7F"/>
    <w:rsid w:val="00BC3DA4"/>
    <w:rsid w:val="00BF61E3"/>
    <w:rsid w:val="00C122B0"/>
    <w:rsid w:val="00C2701E"/>
    <w:rsid w:val="00C33D33"/>
    <w:rsid w:val="00C64195"/>
    <w:rsid w:val="00CD030E"/>
    <w:rsid w:val="00CD13FA"/>
    <w:rsid w:val="00CE0F38"/>
    <w:rsid w:val="00CF743D"/>
    <w:rsid w:val="00D06704"/>
    <w:rsid w:val="00D12733"/>
    <w:rsid w:val="00D22AC9"/>
    <w:rsid w:val="00D5519E"/>
    <w:rsid w:val="00D746B9"/>
    <w:rsid w:val="00D83BBF"/>
    <w:rsid w:val="00D933EA"/>
    <w:rsid w:val="00DA3BC8"/>
    <w:rsid w:val="00E06F99"/>
    <w:rsid w:val="00E203E8"/>
    <w:rsid w:val="00E216DE"/>
    <w:rsid w:val="00E471DE"/>
    <w:rsid w:val="00EB59AF"/>
    <w:rsid w:val="00EC7D2A"/>
    <w:rsid w:val="00EF2939"/>
    <w:rsid w:val="00EF3067"/>
    <w:rsid w:val="00F117E5"/>
    <w:rsid w:val="00F24889"/>
    <w:rsid w:val="00F6536C"/>
    <w:rsid w:val="00F72BA9"/>
    <w:rsid w:val="00F82C27"/>
    <w:rsid w:val="00F929BB"/>
    <w:rsid w:val="00F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350B"/>
  <w15:docId w15:val="{DD029025-9135-4E78-92E1-DC0E139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1436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436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1436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E7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F82C27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0F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0F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0F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0F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0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9444-3C72-45F6-A703-AB04295F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Sara Profeta</cp:lastModifiedBy>
  <cp:revision>44</cp:revision>
  <cp:lastPrinted>2019-02-18T13:08:00Z</cp:lastPrinted>
  <dcterms:created xsi:type="dcterms:W3CDTF">2019-02-18T15:16:00Z</dcterms:created>
  <dcterms:modified xsi:type="dcterms:W3CDTF">2024-10-24T12:30:00Z</dcterms:modified>
</cp:coreProperties>
</file>