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714366" w14:paraId="4893987F" w14:textId="77777777" w:rsidTr="00714366">
        <w:tc>
          <w:tcPr>
            <w:tcW w:w="9396" w:type="dxa"/>
            <w:gridSpan w:val="3"/>
          </w:tcPr>
          <w:p w14:paraId="31C43C37" w14:textId="77777777" w:rsidR="00714366" w:rsidRDefault="00714366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STUDY PROGRAMME:</w:t>
            </w:r>
            <w:r w:rsidR="00120BC5">
              <w:rPr>
                <w:rFonts w:ascii="Calibri" w:hAnsi="Calibri" w:cs="Calibri"/>
              </w:rPr>
              <w:t xml:space="preserve"> </w:t>
            </w:r>
          </w:p>
          <w:p w14:paraId="5046D62F" w14:textId="77777777" w:rsidR="00EB59AF" w:rsidRPr="00714366" w:rsidRDefault="00AE782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Swedish Language and Culture</w:t>
            </w:r>
          </w:p>
        </w:tc>
      </w:tr>
      <w:tr w:rsidR="005D7B91" w14:paraId="0F60B9CD" w14:textId="77777777" w:rsidTr="00714366">
        <w:tc>
          <w:tcPr>
            <w:tcW w:w="9396" w:type="dxa"/>
            <w:gridSpan w:val="3"/>
          </w:tcPr>
          <w:p w14:paraId="614E2EA7" w14:textId="77777777" w:rsidR="005D7B91" w:rsidRPr="0007245F" w:rsidRDefault="005D7B91" w:rsidP="00465279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Level</w:t>
            </w:r>
            <w:r w:rsidR="00EB59AF">
              <w:rPr>
                <w:rFonts w:ascii="Calibri" w:hAnsi="Calibri" w:cs="Calibri"/>
              </w:rPr>
              <w:t xml:space="preserve"> and Year</w:t>
            </w:r>
            <w:r w:rsidR="007254DF">
              <w:rPr>
                <w:rStyle w:val="Fotnotsreferens"/>
                <w:rFonts w:ascii="Calibri" w:hAnsi="Calibri" w:cs="Calibri"/>
              </w:rPr>
              <w:footnoteReference w:id="1"/>
            </w:r>
            <w:r>
              <w:rPr>
                <w:rFonts w:ascii="Calibri" w:hAnsi="Calibri" w:cs="Calibri"/>
              </w:rPr>
              <w:t>:</w:t>
            </w:r>
            <w:r w:rsidR="0007245F">
              <w:rPr>
                <w:rFonts w:ascii="Calibri" w:hAnsi="Calibri" w:cs="Calibri"/>
              </w:rPr>
              <w:t xml:space="preserve"> </w:t>
            </w:r>
            <w:r w:rsidR="0007245F">
              <w:rPr>
                <w:rFonts w:ascii="Calibri" w:hAnsi="Calibri" w:cs="Calibri"/>
                <w:color w:val="FF0000"/>
              </w:rPr>
              <w:t xml:space="preserve"> </w:t>
            </w:r>
            <w:r w:rsidR="00924E9B">
              <w:rPr>
                <w:rFonts w:ascii="Calibri" w:hAnsi="Calibri" w:cs="Calibri"/>
                <w:color w:val="FF0000"/>
              </w:rPr>
              <w:t>MA, 1st year</w:t>
            </w:r>
          </w:p>
        </w:tc>
      </w:tr>
      <w:tr w:rsidR="00A01504" w14:paraId="4F334BA4" w14:textId="77777777" w:rsidTr="00B77E7E">
        <w:tc>
          <w:tcPr>
            <w:tcW w:w="9396" w:type="dxa"/>
            <w:gridSpan w:val="3"/>
          </w:tcPr>
          <w:p w14:paraId="0CC4ADFD" w14:textId="77777777" w:rsidR="00A01504" w:rsidRDefault="00A01504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Title:</w:t>
            </w:r>
          </w:p>
          <w:p w14:paraId="70538572" w14:textId="77777777" w:rsidR="00A01504" w:rsidRPr="00714366" w:rsidRDefault="00533F12" w:rsidP="00714366">
            <w:pPr>
              <w:rPr>
                <w:rFonts w:ascii="Calibri" w:hAnsi="Calibri" w:cs="Calibri"/>
              </w:rPr>
            </w:pPr>
            <w:r w:rsidRPr="00533F12">
              <w:rPr>
                <w:rFonts w:ascii="Calibri" w:hAnsi="Calibri" w:cs="Calibri"/>
              </w:rPr>
              <w:t>Translation Studies and Translation Practice</w:t>
            </w:r>
          </w:p>
        </w:tc>
      </w:tr>
      <w:tr w:rsidR="005D7B91" w14:paraId="0AD2BC2A" w14:textId="77777777" w:rsidTr="00714366">
        <w:tc>
          <w:tcPr>
            <w:tcW w:w="9396" w:type="dxa"/>
            <w:gridSpan w:val="3"/>
          </w:tcPr>
          <w:p w14:paraId="7DE9BBB3" w14:textId="77777777" w:rsidR="00EB59AF" w:rsidRPr="00BF7AAA" w:rsidRDefault="005D7B91" w:rsidP="00D22C4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</w:rPr>
              <w:t>Course Description:</w:t>
            </w:r>
            <w:r w:rsidR="00D22C49">
              <w:rPr>
                <w:rFonts w:ascii="Calibri" w:hAnsi="Calibri" w:cs="Calibri"/>
              </w:rPr>
              <w:t xml:space="preserve"> </w:t>
            </w:r>
            <w:r w:rsidR="00BF7AAA" w:rsidRPr="00BF7AAA">
              <w:rPr>
                <w:rFonts w:ascii="Calibri" w:hAnsi="Calibri" w:cs="Calibri"/>
              </w:rPr>
              <w:t xml:space="preserve">The aim of the course is to introduce students to important topics </w:t>
            </w:r>
            <w:r w:rsidR="00E96D5B">
              <w:rPr>
                <w:rFonts w:ascii="Calibri" w:hAnsi="Calibri" w:cs="Calibri"/>
              </w:rPr>
              <w:t>in T</w:t>
            </w:r>
            <w:r w:rsidR="00BF7AAA" w:rsidRPr="00BF7AAA">
              <w:rPr>
                <w:rFonts w:ascii="Calibri" w:hAnsi="Calibri" w:cs="Calibri"/>
              </w:rPr>
              <w:t xml:space="preserve">ranslation </w:t>
            </w:r>
            <w:r w:rsidR="00E96D5B">
              <w:rPr>
                <w:rFonts w:ascii="Calibri" w:hAnsi="Calibri" w:cs="Calibri"/>
              </w:rPr>
              <w:t>Studies,</w:t>
            </w:r>
            <w:r w:rsidR="00BF7AAA" w:rsidRPr="00BF7AAA">
              <w:rPr>
                <w:rFonts w:ascii="Calibri" w:hAnsi="Calibri" w:cs="Calibri"/>
              </w:rPr>
              <w:t xml:space="preserve"> the development of the discipline and its most i</w:t>
            </w:r>
            <w:r w:rsidR="00E96D5B">
              <w:rPr>
                <w:rFonts w:ascii="Calibri" w:hAnsi="Calibri" w:cs="Calibri"/>
              </w:rPr>
              <w:t>nfluential</w:t>
            </w:r>
            <w:r w:rsidR="00BF7AAA" w:rsidRPr="00BF7AAA">
              <w:rPr>
                <w:rFonts w:ascii="Calibri" w:hAnsi="Calibri" w:cs="Calibri"/>
              </w:rPr>
              <w:t xml:space="preserve"> theoretical paradigms; </w:t>
            </w:r>
            <w:r w:rsidR="00E96D5B">
              <w:rPr>
                <w:rFonts w:ascii="Calibri" w:hAnsi="Calibri" w:cs="Calibri"/>
              </w:rPr>
              <w:t>to make them</w:t>
            </w:r>
            <w:r w:rsidR="002E0262">
              <w:rPr>
                <w:rFonts w:ascii="Calibri" w:hAnsi="Calibri" w:cs="Calibri"/>
              </w:rPr>
              <w:t xml:space="preserve"> aware of</w:t>
            </w:r>
            <w:r w:rsidR="00BF7AAA" w:rsidRPr="00BF7AAA">
              <w:rPr>
                <w:rFonts w:ascii="Calibri" w:hAnsi="Calibri" w:cs="Calibri"/>
              </w:rPr>
              <w:t xml:space="preserve"> the Swedish translation tradition; to draw their attention to the importance of </w:t>
            </w:r>
            <w:r w:rsidR="00E96D5B">
              <w:rPr>
                <w:rFonts w:ascii="Calibri" w:hAnsi="Calibri" w:cs="Calibri"/>
              </w:rPr>
              <w:t>translation tools</w:t>
            </w:r>
            <w:r w:rsidR="00BF7AAA" w:rsidRPr="00BF7AAA">
              <w:rPr>
                <w:rFonts w:ascii="Calibri" w:hAnsi="Calibri" w:cs="Calibri"/>
              </w:rPr>
              <w:t xml:space="preserve"> and resources in modern translation practice and to </w:t>
            </w:r>
            <w:r w:rsidR="002E0262">
              <w:rPr>
                <w:rFonts w:ascii="Calibri" w:hAnsi="Calibri" w:cs="Calibri"/>
              </w:rPr>
              <w:t>int</w:t>
            </w:r>
            <w:r w:rsidR="00E96D5B">
              <w:rPr>
                <w:rFonts w:ascii="Calibri" w:hAnsi="Calibri" w:cs="Calibri"/>
              </w:rPr>
              <w:t>roduce</w:t>
            </w:r>
            <w:r w:rsidR="002E0262">
              <w:rPr>
                <w:rFonts w:ascii="Calibri" w:hAnsi="Calibri" w:cs="Calibri"/>
              </w:rPr>
              <w:t xml:space="preserve"> them </w:t>
            </w:r>
            <w:r w:rsidR="00E96D5B">
              <w:rPr>
                <w:rFonts w:ascii="Calibri" w:hAnsi="Calibri" w:cs="Calibri"/>
              </w:rPr>
              <w:t>to a</w:t>
            </w:r>
            <w:r w:rsidR="002E0262">
              <w:rPr>
                <w:rFonts w:ascii="Calibri" w:hAnsi="Calibri" w:cs="Calibri"/>
              </w:rPr>
              <w:t xml:space="preserve"> </w:t>
            </w:r>
            <w:r w:rsidR="00BF7AAA" w:rsidRPr="00BF7AAA">
              <w:rPr>
                <w:rFonts w:ascii="Calibri" w:hAnsi="Calibri" w:cs="Calibri"/>
              </w:rPr>
              <w:t>tool</w:t>
            </w:r>
            <w:r w:rsidR="009D6A07">
              <w:rPr>
                <w:rFonts w:ascii="Calibri" w:hAnsi="Calibri" w:cs="Calibri"/>
              </w:rPr>
              <w:t xml:space="preserve"> that contain</w:t>
            </w:r>
            <w:r w:rsidR="00E96D5B">
              <w:rPr>
                <w:rFonts w:ascii="Calibri" w:hAnsi="Calibri" w:cs="Calibri"/>
              </w:rPr>
              <w:t>s</w:t>
            </w:r>
            <w:r w:rsidR="00BF7AAA" w:rsidRPr="00BF7AAA">
              <w:rPr>
                <w:rFonts w:ascii="Calibri" w:hAnsi="Calibri" w:cs="Calibri"/>
              </w:rPr>
              <w:t xml:space="preserve"> translation memory and </w:t>
            </w:r>
            <w:r w:rsidR="009D6A07">
              <w:rPr>
                <w:rFonts w:ascii="Calibri" w:hAnsi="Calibri" w:cs="Calibri"/>
              </w:rPr>
              <w:t xml:space="preserve">a </w:t>
            </w:r>
            <w:r w:rsidR="00BF7AAA" w:rsidRPr="00BF7AAA">
              <w:rPr>
                <w:rFonts w:ascii="Calibri" w:hAnsi="Calibri" w:cs="Calibri"/>
              </w:rPr>
              <w:t xml:space="preserve">terminology base; </w:t>
            </w:r>
            <w:r w:rsidR="00E96D5B">
              <w:rPr>
                <w:rFonts w:ascii="Calibri" w:hAnsi="Calibri" w:cs="Calibri"/>
              </w:rPr>
              <w:t xml:space="preserve">to </w:t>
            </w:r>
            <w:r w:rsidR="00BF7AAA" w:rsidRPr="00BF7AAA">
              <w:rPr>
                <w:rFonts w:ascii="Calibri" w:hAnsi="Calibri" w:cs="Calibri"/>
              </w:rPr>
              <w:t xml:space="preserve">familiarize them with basic terminological principles; </w:t>
            </w:r>
            <w:r w:rsidR="00E96D5B">
              <w:rPr>
                <w:rFonts w:ascii="Calibri" w:hAnsi="Calibri" w:cs="Calibri"/>
              </w:rPr>
              <w:t>to emphasize</w:t>
            </w:r>
            <w:r w:rsidR="00BF7AAA" w:rsidRPr="00BF7AAA">
              <w:rPr>
                <w:rFonts w:ascii="Calibri" w:hAnsi="Calibri" w:cs="Calibri"/>
              </w:rPr>
              <w:t xml:space="preserve"> ethical components of translation activity. </w:t>
            </w:r>
            <w:r w:rsidR="00E96D5B">
              <w:rPr>
                <w:rFonts w:ascii="Calibri" w:hAnsi="Calibri" w:cs="Calibri"/>
              </w:rPr>
              <w:t>Students are also introduced to</w:t>
            </w:r>
            <w:r w:rsidR="00BF7AAA" w:rsidRPr="00BF7AAA">
              <w:rPr>
                <w:rFonts w:ascii="Calibri" w:hAnsi="Calibri" w:cs="Calibri"/>
              </w:rPr>
              <w:t xml:space="preserve"> </w:t>
            </w:r>
            <w:r w:rsidR="00E96D5B">
              <w:rPr>
                <w:rFonts w:ascii="Calibri" w:hAnsi="Calibri" w:cs="Calibri"/>
              </w:rPr>
              <w:t xml:space="preserve">translator </w:t>
            </w:r>
            <w:r w:rsidR="00BF7AAA" w:rsidRPr="00BF7AAA">
              <w:rPr>
                <w:rFonts w:ascii="Calibri" w:hAnsi="Calibri" w:cs="Calibri"/>
              </w:rPr>
              <w:t>practic</w:t>
            </w:r>
            <w:r w:rsidR="00E96D5B">
              <w:rPr>
                <w:rFonts w:ascii="Calibri" w:hAnsi="Calibri" w:cs="Calibri"/>
              </w:rPr>
              <w:t>e</w:t>
            </w:r>
            <w:r w:rsidR="00BF7AAA" w:rsidRPr="00BF7AAA">
              <w:rPr>
                <w:rFonts w:ascii="Calibri" w:hAnsi="Calibri" w:cs="Calibri"/>
              </w:rPr>
              <w:t xml:space="preserve"> in the cours</w:t>
            </w:r>
            <w:r w:rsidR="00E96D5B">
              <w:rPr>
                <w:rFonts w:ascii="Calibri" w:hAnsi="Calibri" w:cs="Calibri"/>
              </w:rPr>
              <w:t>e segment in which they are familiarized with the current circumstances defining the profession (different kinds of translation) in Croatia.</w:t>
            </w:r>
          </w:p>
        </w:tc>
      </w:tr>
      <w:tr w:rsidR="005D7B91" w14:paraId="1B77DACC" w14:textId="77777777" w:rsidTr="00714366">
        <w:tc>
          <w:tcPr>
            <w:tcW w:w="9396" w:type="dxa"/>
            <w:gridSpan w:val="3"/>
          </w:tcPr>
          <w:p w14:paraId="51894DBB" w14:textId="35B1F356" w:rsidR="005D7B91" w:rsidRPr="0007245F" w:rsidRDefault="005D7B91" w:rsidP="00465279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Semester</w:t>
            </w:r>
            <w:r w:rsidR="007254DF">
              <w:rPr>
                <w:rStyle w:val="Fotnotsreferens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</w:rPr>
              <w:t>:</w:t>
            </w:r>
            <w:r w:rsidR="0007245F" w:rsidRPr="0007245F">
              <w:rPr>
                <w:rFonts w:ascii="Calibri" w:hAnsi="Calibri" w:cs="Calibri"/>
                <w:color w:val="FF0000"/>
              </w:rPr>
              <w:t xml:space="preserve"> </w:t>
            </w:r>
            <w:r w:rsidR="00924E9B">
              <w:rPr>
                <w:rFonts w:ascii="Calibri" w:hAnsi="Calibri" w:cs="Calibri"/>
                <w:color w:val="FF0000"/>
              </w:rPr>
              <w:t>Winter</w:t>
            </w:r>
            <w:r w:rsidR="00EF614B">
              <w:rPr>
                <w:rFonts w:ascii="Calibri" w:hAnsi="Calibri" w:cs="Calibri"/>
                <w:color w:val="FF0000"/>
              </w:rPr>
              <w:t xml:space="preserve"> 20</w:t>
            </w:r>
            <w:r w:rsidR="000E3614">
              <w:rPr>
                <w:rFonts w:ascii="Calibri" w:hAnsi="Calibri" w:cs="Calibri"/>
                <w:color w:val="FF0000"/>
              </w:rPr>
              <w:t>24</w:t>
            </w:r>
          </w:p>
        </w:tc>
      </w:tr>
      <w:tr w:rsidR="00714366" w14:paraId="4D1D9CF1" w14:textId="77777777" w:rsidTr="00714366">
        <w:tc>
          <w:tcPr>
            <w:tcW w:w="9396" w:type="dxa"/>
            <w:gridSpan w:val="3"/>
          </w:tcPr>
          <w:p w14:paraId="6011921C" w14:textId="77777777" w:rsidR="00714366" w:rsidRDefault="00714366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Lecturer</w:t>
            </w:r>
            <w:r w:rsidR="007254DF">
              <w:rPr>
                <w:rFonts w:ascii="Calibri" w:hAnsi="Calibri" w:cs="Calibri"/>
              </w:rPr>
              <w:t>(s)/Teacher(s)</w:t>
            </w:r>
            <w:r>
              <w:rPr>
                <w:rFonts w:ascii="Calibri" w:hAnsi="Calibri" w:cs="Calibri"/>
              </w:rPr>
              <w:t>:</w:t>
            </w:r>
          </w:p>
          <w:p w14:paraId="1D1F1963" w14:textId="77777777" w:rsidR="00C64195" w:rsidRPr="00714366" w:rsidRDefault="00C435D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 Goranka Antunović, PhD</w:t>
            </w:r>
          </w:p>
        </w:tc>
      </w:tr>
      <w:tr w:rsidR="00A01504" w14:paraId="0DDE1AC9" w14:textId="77777777" w:rsidTr="00714366">
        <w:tc>
          <w:tcPr>
            <w:tcW w:w="9396" w:type="dxa"/>
            <w:gridSpan w:val="3"/>
          </w:tcPr>
          <w:p w14:paraId="041AA950" w14:textId="77777777" w:rsidR="00E203E8" w:rsidRDefault="00E203E8" w:rsidP="00E96D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 Language (regular)</w:t>
            </w:r>
            <w:r w:rsidR="00C64195">
              <w:rPr>
                <w:rStyle w:val="Fotnotsreferens"/>
                <w:rFonts w:ascii="Calibri" w:hAnsi="Calibri" w:cs="Calibri"/>
              </w:rPr>
              <w:footnoteReference w:id="3"/>
            </w:r>
            <w:r w:rsidR="007254DF">
              <w:rPr>
                <w:rFonts w:ascii="Calibri" w:hAnsi="Calibri" w:cs="Calibri"/>
              </w:rPr>
              <w:t>:</w:t>
            </w:r>
            <w:r w:rsidR="00D9106D">
              <w:rPr>
                <w:rFonts w:ascii="Calibri" w:hAnsi="Calibri" w:cs="Calibri"/>
              </w:rPr>
              <w:t xml:space="preserve"> </w:t>
            </w:r>
            <w:r w:rsidR="00E96D5B">
              <w:rPr>
                <w:rFonts w:ascii="Calibri" w:hAnsi="Calibri" w:cs="Calibri"/>
              </w:rPr>
              <w:t>Swedish or</w:t>
            </w:r>
            <w:r w:rsidR="008212A4">
              <w:rPr>
                <w:rFonts w:ascii="Calibri" w:hAnsi="Calibri" w:cs="Calibri"/>
              </w:rPr>
              <w:t xml:space="preserve"> English</w:t>
            </w:r>
          </w:p>
        </w:tc>
      </w:tr>
      <w:tr w:rsidR="007254DF" w14:paraId="3BF3657D" w14:textId="77777777" w:rsidTr="00714366">
        <w:tc>
          <w:tcPr>
            <w:tcW w:w="9396" w:type="dxa"/>
            <w:gridSpan w:val="3"/>
          </w:tcPr>
          <w:p w14:paraId="1CB657C1" w14:textId="77777777" w:rsidR="007254DF" w:rsidRDefault="007254DF" w:rsidP="00714366">
            <w:pPr>
              <w:rPr>
                <w:rFonts w:ascii="Calibri" w:hAnsi="Calibri" w:cs="Calibri"/>
              </w:rPr>
            </w:pPr>
            <w:r w:rsidRPr="007254DF">
              <w:rPr>
                <w:rFonts w:ascii="Calibri" w:hAnsi="Calibri" w:cs="Calibri"/>
              </w:rPr>
              <w:t>Teaching Methods</w:t>
            </w:r>
            <w:r>
              <w:rPr>
                <w:rFonts w:ascii="Calibri" w:hAnsi="Calibri" w:cs="Calibri"/>
              </w:rPr>
              <w:t xml:space="preserve"> (regular):</w:t>
            </w:r>
            <w:r>
              <w:rPr>
                <w:rStyle w:val="Fotnotsreferens"/>
                <w:rFonts w:ascii="Calibri" w:hAnsi="Calibri" w:cs="Calibri"/>
              </w:rPr>
              <w:footnoteReference w:id="4"/>
            </w:r>
          </w:p>
          <w:p w14:paraId="1A514C93" w14:textId="77777777" w:rsidR="009C6004" w:rsidRPr="002C02CF" w:rsidRDefault="002C02CF" w:rsidP="00E96D5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</w:rPr>
              <w:t>L</w:t>
            </w:r>
            <w:r w:rsidRPr="002C02CF">
              <w:rPr>
                <w:rFonts w:ascii="Calibri" w:hAnsi="Calibri" w:cs="Calibri"/>
              </w:rPr>
              <w:t>ectures, discussions, meetings with translators-practitioners</w:t>
            </w:r>
            <w:r>
              <w:rPr>
                <w:rFonts w:ascii="Calibri" w:hAnsi="Calibri" w:cs="Calibri"/>
              </w:rPr>
              <w:t>.</w:t>
            </w:r>
            <w:r w:rsidR="00E96D5B">
              <w:rPr>
                <w:rFonts w:ascii="Calibri" w:hAnsi="Calibri" w:cs="Calibri"/>
              </w:rPr>
              <w:t xml:space="preserve"> </w:t>
            </w:r>
            <w:r w:rsidR="00E96D5B" w:rsidRPr="002C02CF">
              <w:rPr>
                <w:rFonts w:ascii="Calibri" w:hAnsi="Calibri" w:cs="Calibri"/>
              </w:rPr>
              <w:t xml:space="preserve"> </w:t>
            </w:r>
            <w:r w:rsidR="00BB3F83" w:rsidRPr="002C02CF">
              <w:rPr>
                <w:rFonts w:ascii="Calibri" w:hAnsi="Calibri" w:cs="Calibri"/>
              </w:rPr>
              <w:t>Analysis</w:t>
            </w:r>
            <w:r w:rsidR="00E96D5B" w:rsidRPr="002C02CF">
              <w:rPr>
                <w:rFonts w:ascii="Calibri" w:hAnsi="Calibri" w:cs="Calibri"/>
              </w:rPr>
              <w:t xml:space="preserve"> of </w:t>
            </w:r>
            <w:r w:rsidR="00E96D5B">
              <w:rPr>
                <w:rFonts w:ascii="Calibri" w:hAnsi="Calibri" w:cs="Calibri"/>
              </w:rPr>
              <w:t xml:space="preserve">a </w:t>
            </w:r>
            <w:r w:rsidR="00E96D5B" w:rsidRPr="002C02CF">
              <w:rPr>
                <w:rFonts w:ascii="Calibri" w:hAnsi="Calibri" w:cs="Calibri"/>
              </w:rPr>
              <w:t>published translation</w:t>
            </w:r>
            <w:r w:rsidR="00E96D5B">
              <w:rPr>
                <w:rFonts w:ascii="Calibri" w:hAnsi="Calibri" w:cs="Calibri"/>
              </w:rPr>
              <w:t>.</w:t>
            </w:r>
          </w:p>
        </w:tc>
      </w:tr>
      <w:tr w:rsidR="00714366" w14:paraId="6B16D057" w14:textId="77777777" w:rsidTr="00334931">
        <w:tc>
          <w:tcPr>
            <w:tcW w:w="3132" w:type="dxa"/>
          </w:tcPr>
          <w:p w14:paraId="03894E32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</w:t>
            </w:r>
            <w:r w:rsidR="00465279">
              <w:rPr>
                <w:rFonts w:ascii="Calibri" w:hAnsi="Calibri" w:cs="Calibri"/>
              </w:rPr>
              <w:t>:</w:t>
            </w:r>
          </w:p>
        </w:tc>
        <w:tc>
          <w:tcPr>
            <w:tcW w:w="3132" w:type="dxa"/>
          </w:tcPr>
          <w:p w14:paraId="45898937" w14:textId="77777777" w:rsidR="00714366" w:rsidRPr="00714366" w:rsidRDefault="005D7B91" w:rsidP="00C122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Weekly</w:t>
            </w:r>
            <w:r w:rsidR="00C122B0">
              <w:rPr>
                <w:rFonts w:ascii="Calibri" w:hAnsi="Calibri" w:cs="Calibri"/>
              </w:rPr>
              <w:t xml:space="preserve"> (hours)</w:t>
            </w:r>
          </w:p>
        </w:tc>
        <w:tc>
          <w:tcPr>
            <w:tcW w:w="3132" w:type="dxa"/>
          </w:tcPr>
          <w:p w14:paraId="4861CD89" w14:textId="77777777" w:rsidR="00465279" w:rsidRPr="00714366" w:rsidRDefault="005D7B91" w:rsidP="00D22C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Semester</w:t>
            </w:r>
            <w:r w:rsidR="00C122B0">
              <w:rPr>
                <w:rFonts w:ascii="Calibri" w:hAnsi="Calibri" w:cs="Calibri"/>
              </w:rPr>
              <w:t xml:space="preserve"> (hours)</w:t>
            </w:r>
          </w:p>
        </w:tc>
      </w:tr>
      <w:tr w:rsidR="00714366" w14:paraId="63A4B465" w14:textId="77777777" w:rsidTr="00DB754C">
        <w:tc>
          <w:tcPr>
            <w:tcW w:w="3132" w:type="dxa"/>
          </w:tcPr>
          <w:p w14:paraId="6543960F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Lectures:</w:t>
            </w:r>
          </w:p>
        </w:tc>
        <w:tc>
          <w:tcPr>
            <w:tcW w:w="3132" w:type="dxa"/>
          </w:tcPr>
          <w:p w14:paraId="6CE0B269" w14:textId="77777777" w:rsidR="00714366" w:rsidRPr="00714366" w:rsidRDefault="002C02C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32" w:type="dxa"/>
          </w:tcPr>
          <w:p w14:paraId="032954BE" w14:textId="77777777" w:rsidR="00714366" w:rsidRPr="00714366" w:rsidRDefault="002C02C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14366" w14:paraId="23E8A2D2" w14:textId="77777777" w:rsidTr="001C572C">
        <w:tc>
          <w:tcPr>
            <w:tcW w:w="3132" w:type="dxa"/>
          </w:tcPr>
          <w:p w14:paraId="40A96973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Exercises:</w:t>
            </w:r>
          </w:p>
        </w:tc>
        <w:tc>
          <w:tcPr>
            <w:tcW w:w="3132" w:type="dxa"/>
          </w:tcPr>
          <w:p w14:paraId="3E3F3AB1" w14:textId="77777777" w:rsidR="00714366" w:rsidRPr="00714366" w:rsidRDefault="002C02C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3132" w:type="dxa"/>
          </w:tcPr>
          <w:p w14:paraId="1ABB70F2" w14:textId="77777777" w:rsidR="00714366" w:rsidRPr="00714366" w:rsidRDefault="002C02C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14366" w14:paraId="76CAE1D4" w14:textId="77777777" w:rsidTr="00591030">
        <w:tc>
          <w:tcPr>
            <w:tcW w:w="3132" w:type="dxa"/>
          </w:tcPr>
          <w:p w14:paraId="2EBB20E4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Seminars:</w:t>
            </w:r>
          </w:p>
        </w:tc>
        <w:tc>
          <w:tcPr>
            <w:tcW w:w="3132" w:type="dxa"/>
          </w:tcPr>
          <w:p w14:paraId="5BE9930F" w14:textId="77777777" w:rsidR="00714366" w:rsidRPr="00714366" w:rsidRDefault="002C02C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32" w:type="dxa"/>
          </w:tcPr>
          <w:p w14:paraId="2ABB8430" w14:textId="77777777" w:rsidR="00714366" w:rsidRPr="00714366" w:rsidRDefault="002C02C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14366" w14:paraId="088ED7AB" w14:textId="77777777" w:rsidTr="00714366">
        <w:tc>
          <w:tcPr>
            <w:tcW w:w="9396" w:type="dxa"/>
            <w:gridSpan w:val="3"/>
          </w:tcPr>
          <w:p w14:paraId="60466B4A" w14:textId="77777777" w:rsidR="00714366" w:rsidRP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ECTS:</w:t>
            </w:r>
            <w:r w:rsidR="0087018E">
              <w:rPr>
                <w:rFonts w:ascii="Calibri" w:hAnsi="Calibri" w:cs="Calibri"/>
              </w:rPr>
              <w:t xml:space="preserve"> 6</w:t>
            </w:r>
          </w:p>
        </w:tc>
      </w:tr>
      <w:tr w:rsidR="00BC2B7F" w14:paraId="525407C8" w14:textId="77777777" w:rsidTr="00714366">
        <w:tc>
          <w:tcPr>
            <w:tcW w:w="9396" w:type="dxa"/>
            <w:gridSpan w:val="3"/>
          </w:tcPr>
          <w:p w14:paraId="6AF4702B" w14:textId="77777777" w:rsidR="00BC2B7F" w:rsidRDefault="00BC2B7F" w:rsidP="00714366">
            <w:pPr>
              <w:rPr>
                <w:rFonts w:ascii="Calibri" w:hAnsi="Calibri" w:cs="Calibri"/>
              </w:rPr>
            </w:pPr>
            <w:r w:rsidRPr="00BC2B7F">
              <w:rPr>
                <w:rFonts w:ascii="Calibri" w:hAnsi="Calibri" w:cs="Calibri"/>
              </w:rPr>
              <w:t>Teaching language and level</w:t>
            </w:r>
            <w:r>
              <w:rPr>
                <w:rStyle w:val="Fotnotsreferens"/>
                <w:rFonts w:ascii="Calibri" w:hAnsi="Calibri" w:cs="Calibri"/>
              </w:rPr>
              <w:footnoteReference w:id="5"/>
            </w:r>
            <w:r w:rsidRPr="00BC2B7F">
              <w:rPr>
                <w:rFonts w:ascii="Calibri" w:hAnsi="Calibri" w:cs="Calibri"/>
              </w:rPr>
              <w:t xml:space="preserve">  for guest</w:t>
            </w:r>
            <w:r>
              <w:rPr>
                <w:rFonts w:ascii="Calibri" w:hAnsi="Calibri" w:cs="Calibri"/>
              </w:rPr>
              <w:t xml:space="preserve"> </w:t>
            </w:r>
            <w:r w:rsidRPr="00BC2B7F">
              <w:rPr>
                <w:rFonts w:ascii="Calibri" w:hAnsi="Calibri" w:cs="Calibri"/>
              </w:rPr>
              <w:t>(exchange) students:</w:t>
            </w:r>
          </w:p>
          <w:p w14:paraId="3E80128A" w14:textId="77777777" w:rsidR="00C64195" w:rsidRPr="00802860" w:rsidRDefault="008212A4" w:rsidP="00714366">
            <w:pPr>
              <w:rPr>
                <w:rFonts w:ascii="Calibri" w:hAnsi="Calibri" w:cs="Calibri"/>
              </w:rPr>
            </w:pPr>
            <w:r w:rsidRPr="00802860">
              <w:rPr>
                <w:rFonts w:ascii="Calibri" w:hAnsi="Calibri" w:cs="Calibri"/>
              </w:rPr>
              <w:t>English B2, Swedish B2</w:t>
            </w:r>
          </w:p>
        </w:tc>
      </w:tr>
      <w:tr w:rsidR="00BC2B7F" w14:paraId="5B8C81F6" w14:textId="77777777" w:rsidTr="00714366">
        <w:tc>
          <w:tcPr>
            <w:tcW w:w="9396" w:type="dxa"/>
            <w:gridSpan w:val="3"/>
          </w:tcPr>
          <w:p w14:paraId="7CBB60B7" w14:textId="77777777" w:rsidR="00BC2B7F" w:rsidRDefault="00BC2B7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Teaching Methods</w:t>
            </w:r>
            <w:r>
              <w:rPr>
                <w:rStyle w:val="Fotnotsreferens"/>
                <w:rFonts w:ascii="Calibri" w:hAnsi="Calibri" w:cs="Calibri"/>
              </w:rPr>
              <w:footnoteReference w:id="6"/>
            </w:r>
            <w:r>
              <w:rPr>
                <w:rFonts w:ascii="Calibri" w:hAnsi="Calibri" w:cs="Calibri"/>
              </w:rPr>
              <w:t xml:space="preserve"> </w:t>
            </w:r>
            <w:r w:rsidRPr="00BC2B7F">
              <w:rPr>
                <w:rFonts w:ascii="Calibri" w:hAnsi="Calibri" w:cs="Calibri"/>
              </w:rPr>
              <w:t>for guest (exchange) students</w:t>
            </w:r>
            <w:r>
              <w:rPr>
                <w:rFonts w:ascii="Calibri" w:hAnsi="Calibri" w:cs="Calibri"/>
              </w:rPr>
              <w:t>:</w:t>
            </w:r>
          </w:p>
          <w:p w14:paraId="3B7A3D40" w14:textId="77777777" w:rsidR="00C64195" w:rsidRPr="00BC2B7F" w:rsidRDefault="007953B8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L1</w:t>
            </w:r>
          </w:p>
        </w:tc>
      </w:tr>
      <w:tr w:rsidR="00EB59AF" w14:paraId="102E77A9" w14:textId="77777777" w:rsidTr="00714366">
        <w:tc>
          <w:tcPr>
            <w:tcW w:w="9396" w:type="dxa"/>
            <w:gridSpan w:val="3"/>
          </w:tcPr>
          <w:p w14:paraId="38629FAC" w14:textId="77777777" w:rsidR="00EB59AF" w:rsidRPr="003B1E7C" w:rsidRDefault="003804F7" w:rsidP="00714366">
            <w:pPr>
              <w:rPr>
                <w:rFonts w:ascii="Calibri" w:hAnsi="Calibri" w:cs="Calibri"/>
              </w:rPr>
            </w:pPr>
            <w:r w:rsidRPr="003B1E7C">
              <w:rPr>
                <w:rFonts w:ascii="Calibri" w:hAnsi="Calibri" w:cs="Calibri"/>
              </w:rPr>
              <w:t>Evaluation</w:t>
            </w:r>
            <w:r w:rsidR="00EB59AF" w:rsidRPr="003B1E7C">
              <w:rPr>
                <w:rFonts w:ascii="Calibri" w:hAnsi="Calibri" w:cs="Calibri"/>
              </w:rPr>
              <w:t xml:space="preserve"> Methods</w:t>
            </w:r>
            <w:r w:rsidR="00D12733">
              <w:rPr>
                <w:rStyle w:val="Fotnotsreferens"/>
                <w:rFonts w:ascii="Calibri" w:hAnsi="Calibri" w:cs="Calibri"/>
              </w:rPr>
              <w:footnoteReference w:id="7"/>
            </w:r>
            <w:r w:rsidR="00381EEA" w:rsidRPr="003B1E7C">
              <w:rPr>
                <w:rFonts w:ascii="Calibri" w:hAnsi="Calibri" w:cs="Calibri"/>
              </w:rPr>
              <w:t xml:space="preserve"> and Grading</w:t>
            </w:r>
            <w:r w:rsidR="00D12733">
              <w:rPr>
                <w:rStyle w:val="Fotnotsreferens"/>
                <w:rFonts w:ascii="Calibri" w:hAnsi="Calibri" w:cs="Calibri"/>
              </w:rPr>
              <w:footnoteReference w:id="8"/>
            </w:r>
            <w:r w:rsidR="00381EEA" w:rsidRPr="003B1E7C">
              <w:rPr>
                <w:rFonts w:ascii="Calibri" w:hAnsi="Calibri" w:cs="Calibri"/>
              </w:rPr>
              <w:t>:</w:t>
            </w:r>
            <w:r w:rsidR="00DB0238">
              <w:rPr>
                <w:rFonts w:ascii="Calibri" w:hAnsi="Calibri" w:cs="Calibri"/>
              </w:rPr>
              <w:t xml:space="preserve"> </w:t>
            </w:r>
            <w:r w:rsidR="00DB0238" w:rsidRPr="00DB0238">
              <w:rPr>
                <w:rFonts w:ascii="Calibri" w:hAnsi="Calibri" w:cs="Calibri"/>
              </w:rPr>
              <w:t xml:space="preserve"> Students are expected to attend and participate actively in classes and prepare the </w:t>
            </w:r>
            <w:r w:rsidR="00E96D5B">
              <w:rPr>
                <w:rFonts w:ascii="Calibri" w:hAnsi="Calibri" w:cs="Calibri"/>
              </w:rPr>
              <w:t>texts selected</w:t>
            </w:r>
            <w:r w:rsidR="00DB0238" w:rsidRPr="00DB0238">
              <w:rPr>
                <w:rFonts w:ascii="Calibri" w:hAnsi="Calibri" w:cs="Calibri"/>
              </w:rPr>
              <w:t xml:space="preserve"> for </w:t>
            </w:r>
            <w:r w:rsidR="00E96D5B">
              <w:rPr>
                <w:rFonts w:ascii="Calibri" w:hAnsi="Calibri" w:cs="Calibri"/>
              </w:rPr>
              <w:t>a particular</w:t>
            </w:r>
            <w:r w:rsidR="00DB0238" w:rsidRPr="00DB0238">
              <w:rPr>
                <w:rFonts w:ascii="Calibri" w:hAnsi="Calibri" w:cs="Calibri"/>
              </w:rPr>
              <w:t xml:space="preserve"> class. Students are required to prepare two seminar assignments and to pass a written exam at the end of the course.</w:t>
            </w:r>
            <w:r w:rsidR="00AC5401">
              <w:rPr>
                <w:rFonts w:ascii="Calibri" w:hAnsi="Calibri" w:cs="Calibri"/>
              </w:rPr>
              <w:t xml:space="preserve"> / Standard grading system.</w:t>
            </w:r>
            <w:r w:rsidR="00A02772">
              <w:rPr>
                <w:rFonts w:ascii="Calibri" w:hAnsi="Calibri" w:cs="Calibri"/>
              </w:rPr>
              <w:t xml:space="preserve"> C+</w:t>
            </w:r>
          </w:p>
          <w:p w14:paraId="3A945324" w14:textId="77777777" w:rsidR="00EB59AF" w:rsidRDefault="00EB59AF" w:rsidP="00714366">
            <w:pPr>
              <w:rPr>
                <w:rFonts w:ascii="Calibri" w:hAnsi="Calibri" w:cs="Calibri"/>
              </w:rPr>
            </w:pPr>
          </w:p>
          <w:p w14:paraId="674654C2" w14:textId="77777777" w:rsidR="00E96D5B" w:rsidRPr="00DB0238" w:rsidRDefault="00E96D5B" w:rsidP="00714366">
            <w:pPr>
              <w:rPr>
                <w:rFonts w:ascii="Calibri" w:hAnsi="Calibri" w:cs="Calibri"/>
              </w:rPr>
            </w:pPr>
          </w:p>
        </w:tc>
      </w:tr>
      <w:tr w:rsidR="00714366" w14:paraId="10CE690E" w14:textId="77777777" w:rsidTr="00D9106D">
        <w:trPr>
          <w:trHeight w:val="1986"/>
        </w:trPr>
        <w:tc>
          <w:tcPr>
            <w:tcW w:w="9396" w:type="dxa"/>
            <w:gridSpan w:val="3"/>
          </w:tcPr>
          <w:p w14:paraId="61B1586C" w14:textId="77777777" w:rsidR="00714366" w:rsidRDefault="005D7B91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Learning Outcomes:</w:t>
            </w:r>
          </w:p>
          <w:p w14:paraId="6B9A12C1" w14:textId="77777777" w:rsidR="00EB59AF" w:rsidRPr="00493063" w:rsidRDefault="00E055D2" w:rsidP="00A90AA2">
            <w:pPr>
              <w:rPr>
                <w:rFonts w:ascii="Calibri" w:hAnsi="Calibri" w:cs="Calibri"/>
              </w:rPr>
            </w:pPr>
            <w:r w:rsidRPr="00E055D2">
              <w:rPr>
                <w:rFonts w:ascii="Calibri" w:hAnsi="Calibri" w:cs="Calibri"/>
              </w:rPr>
              <w:t>Students will be able to desc</w:t>
            </w:r>
            <w:r>
              <w:rPr>
                <w:rFonts w:ascii="Calibri" w:hAnsi="Calibri" w:cs="Calibri"/>
              </w:rPr>
              <w:t>ribe the development of</w:t>
            </w:r>
            <w:r w:rsidR="00D22C49">
              <w:rPr>
                <w:rFonts w:ascii="Calibri" w:hAnsi="Calibri" w:cs="Calibri"/>
              </w:rPr>
              <w:t xml:space="preserve"> T</w:t>
            </w:r>
            <w:r w:rsidRPr="00E055D2">
              <w:rPr>
                <w:rFonts w:ascii="Calibri" w:hAnsi="Calibri" w:cs="Calibri"/>
              </w:rPr>
              <w:t>ranslation</w:t>
            </w:r>
            <w:r w:rsidR="00D22C49">
              <w:rPr>
                <w:rFonts w:ascii="Calibri" w:hAnsi="Calibri" w:cs="Calibri"/>
              </w:rPr>
              <w:t xml:space="preserve"> Studies</w:t>
            </w:r>
            <w:r w:rsidRPr="00E055D2">
              <w:rPr>
                <w:rFonts w:ascii="Calibri" w:hAnsi="Calibri" w:cs="Calibri"/>
              </w:rPr>
              <w:t xml:space="preserve">, </w:t>
            </w:r>
            <w:r w:rsidR="00D22C49">
              <w:rPr>
                <w:rFonts w:ascii="Calibri" w:hAnsi="Calibri" w:cs="Calibri"/>
              </w:rPr>
              <w:t>describe</w:t>
            </w:r>
            <w:r w:rsidRPr="00E055D2">
              <w:rPr>
                <w:rFonts w:ascii="Calibri" w:hAnsi="Calibri" w:cs="Calibri"/>
              </w:rPr>
              <w:t xml:space="preserve"> the essential characteristics of individual phases and the most  influential </w:t>
            </w:r>
            <w:r w:rsidR="00F60DFB">
              <w:rPr>
                <w:rFonts w:ascii="Calibri" w:hAnsi="Calibri" w:cs="Calibri"/>
              </w:rPr>
              <w:t>researchers</w:t>
            </w:r>
            <w:r w:rsidR="00D22C49">
              <w:rPr>
                <w:rFonts w:ascii="Calibri" w:hAnsi="Calibri" w:cs="Calibri"/>
              </w:rPr>
              <w:t xml:space="preserve"> defining them</w:t>
            </w:r>
            <w:r w:rsidRPr="00E055D2">
              <w:rPr>
                <w:rFonts w:ascii="Calibri" w:hAnsi="Calibri" w:cs="Calibri"/>
              </w:rPr>
              <w:t>;</w:t>
            </w:r>
            <w:r w:rsidR="00D22C49">
              <w:rPr>
                <w:rFonts w:ascii="Calibri" w:hAnsi="Calibri" w:cs="Calibri"/>
              </w:rPr>
              <w:t xml:space="preserve"> </w:t>
            </w:r>
            <w:r w:rsidR="003E35E6">
              <w:rPr>
                <w:rFonts w:ascii="Calibri" w:hAnsi="Calibri" w:cs="Calibri"/>
              </w:rPr>
              <w:t>u</w:t>
            </w:r>
            <w:r w:rsidRPr="00E055D2">
              <w:rPr>
                <w:rFonts w:ascii="Calibri" w:hAnsi="Calibri" w:cs="Calibri"/>
              </w:rPr>
              <w:t>nderstand and be able to describe the main principle</w:t>
            </w:r>
            <w:r w:rsidR="00D22C49">
              <w:rPr>
                <w:rFonts w:ascii="Calibri" w:hAnsi="Calibri" w:cs="Calibri"/>
              </w:rPr>
              <w:t xml:space="preserve">s and concepts of selected </w:t>
            </w:r>
            <w:r w:rsidRPr="00E055D2">
              <w:rPr>
                <w:rFonts w:ascii="Calibri" w:hAnsi="Calibri" w:cs="Calibri"/>
              </w:rPr>
              <w:t xml:space="preserve">paradigms in </w:t>
            </w:r>
            <w:r w:rsidR="00D22C49">
              <w:rPr>
                <w:rFonts w:ascii="Calibri" w:hAnsi="Calibri" w:cs="Calibri"/>
              </w:rPr>
              <w:t>TS</w:t>
            </w:r>
            <w:r w:rsidRPr="00E055D2">
              <w:rPr>
                <w:rFonts w:ascii="Calibri" w:hAnsi="Calibri" w:cs="Calibri"/>
              </w:rPr>
              <w:t>;</w:t>
            </w:r>
            <w:r w:rsidR="00D22C49">
              <w:rPr>
                <w:rFonts w:ascii="Calibri" w:hAnsi="Calibri" w:cs="Calibri"/>
              </w:rPr>
              <w:t xml:space="preserve"> </w:t>
            </w:r>
            <w:r w:rsidRPr="00E055D2">
              <w:rPr>
                <w:rFonts w:ascii="Calibri" w:hAnsi="Calibri" w:cs="Calibri"/>
              </w:rPr>
              <w:t>explain</w:t>
            </w:r>
            <w:r w:rsidR="00D22C49">
              <w:rPr>
                <w:rFonts w:ascii="Calibri" w:hAnsi="Calibri" w:cs="Calibri"/>
              </w:rPr>
              <w:t xml:space="preserve"> various </w:t>
            </w:r>
            <w:r w:rsidRPr="00E055D2">
              <w:rPr>
                <w:rFonts w:ascii="Calibri" w:hAnsi="Calibri" w:cs="Calibri"/>
              </w:rPr>
              <w:t xml:space="preserve"> definitions of t</w:t>
            </w:r>
            <w:r w:rsidR="00D22C49">
              <w:rPr>
                <w:rFonts w:ascii="Calibri" w:hAnsi="Calibri" w:cs="Calibri"/>
              </w:rPr>
              <w:t xml:space="preserve">ranslation and various metaphors of </w:t>
            </w:r>
            <w:r w:rsidR="00800834">
              <w:rPr>
                <w:rFonts w:ascii="Calibri" w:hAnsi="Calibri" w:cs="Calibri"/>
              </w:rPr>
              <w:t>translation</w:t>
            </w:r>
            <w:r w:rsidRPr="00E055D2">
              <w:rPr>
                <w:rFonts w:ascii="Calibri" w:hAnsi="Calibri" w:cs="Calibri"/>
              </w:rPr>
              <w:t xml:space="preserve"> / translators and point to their implications;</w:t>
            </w:r>
            <w:r w:rsidR="00D22C49">
              <w:rPr>
                <w:rFonts w:ascii="Calibri" w:hAnsi="Calibri" w:cs="Calibri"/>
              </w:rPr>
              <w:t xml:space="preserve"> </w:t>
            </w:r>
            <w:r w:rsidRPr="00E055D2">
              <w:rPr>
                <w:rFonts w:ascii="Calibri" w:hAnsi="Calibri" w:cs="Calibri"/>
              </w:rPr>
              <w:t>list and describe various translation procedures and strategies;</w:t>
            </w:r>
            <w:r w:rsidR="00A90AA2">
              <w:rPr>
                <w:rFonts w:ascii="Calibri" w:hAnsi="Calibri" w:cs="Calibri"/>
              </w:rPr>
              <w:t xml:space="preserve"> </w:t>
            </w:r>
            <w:r w:rsidRPr="00E055D2">
              <w:rPr>
                <w:rFonts w:ascii="Calibri" w:hAnsi="Calibri" w:cs="Calibri"/>
              </w:rPr>
              <w:t>describe the Swedish tra</w:t>
            </w:r>
            <w:r w:rsidR="00A90AA2">
              <w:rPr>
                <w:rFonts w:ascii="Calibri" w:hAnsi="Calibri" w:cs="Calibri"/>
              </w:rPr>
              <w:t>nslation tradition and relate it to</w:t>
            </w:r>
            <w:r w:rsidRPr="00E055D2">
              <w:rPr>
                <w:rFonts w:ascii="Calibri" w:hAnsi="Calibri" w:cs="Calibri"/>
              </w:rPr>
              <w:t xml:space="preserve"> social circumstances in particular periods;</w:t>
            </w:r>
            <w:r w:rsidR="00A90AA2">
              <w:rPr>
                <w:rFonts w:ascii="Calibri" w:hAnsi="Calibri" w:cs="Calibri"/>
              </w:rPr>
              <w:t xml:space="preserve"> describe circu</w:t>
            </w:r>
            <w:r w:rsidRPr="00E055D2">
              <w:rPr>
                <w:rFonts w:ascii="Calibri" w:hAnsi="Calibri" w:cs="Calibri"/>
              </w:rPr>
              <w:t xml:space="preserve">mstances </w:t>
            </w:r>
            <w:r w:rsidR="00A90AA2">
              <w:rPr>
                <w:rFonts w:ascii="Calibri" w:hAnsi="Calibri" w:cs="Calibri"/>
              </w:rPr>
              <w:t xml:space="preserve"> defining </w:t>
            </w:r>
            <w:r w:rsidRPr="00E055D2">
              <w:rPr>
                <w:rFonts w:ascii="Calibri" w:hAnsi="Calibri" w:cs="Calibri"/>
              </w:rPr>
              <w:t xml:space="preserve">the work of translators of different profiles (court interpreters, translators for </w:t>
            </w:r>
            <w:r w:rsidR="00800834">
              <w:rPr>
                <w:rFonts w:ascii="Calibri" w:hAnsi="Calibri" w:cs="Calibri"/>
              </w:rPr>
              <w:t>audio-visual</w:t>
            </w:r>
            <w:r w:rsidRPr="00E055D2">
              <w:rPr>
                <w:rFonts w:ascii="Calibri" w:hAnsi="Calibri" w:cs="Calibri"/>
              </w:rPr>
              <w:t xml:space="preserve"> media, </w:t>
            </w:r>
            <w:r w:rsidR="00800834">
              <w:rPr>
                <w:rFonts w:ascii="Calibri" w:hAnsi="Calibri" w:cs="Calibri"/>
              </w:rPr>
              <w:t>literary</w:t>
            </w:r>
            <w:r w:rsidRPr="00E055D2">
              <w:rPr>
                <w:rFonts w:ascii="Calibri" w:hAnsi="Calibri" w:cs="Calibri"/>
              </w:rPr>
              <w:t xml:space="preserve"> translators, conference interpreters, etc.)</w:t>
            </w:r>
            <w:r w:rsidR="00A90AA2">
              <w:rPr>
                <w:rFonts w:ascii="Calibri" w:hAnsi="Calibri" w:cs="Calibri"/>
              </w:rPr>
              <w:t xml:space="preserve"> today</w:t>
            </w:r>
            <w:r w:rsidR="00723834">
              <w:rPr>
                <w:rFonts w:ascii="Calibri" w:hAnsi="Calibri" w:cs="Calibri"/>
              </w:rPr>
              <w:t>;</w:t>
            </w:r>
            <w:r w:rsidR="00A90AA2">
              <w:rPr>
                <w:rFonts w:ascii="Calibri" w:hAnsi="Calibri" w:cs="Calibri"/>
              </w:rPr>
              <w:t xml:space="preserve">  </w:t>
            </w:r>
            <w:r w:rsidR="00723834">
              <w:rPr>
                <w:rFonts w:ascii="Calibri" w:hAnsi="Calibri" w:cs="Calibri"/>
              </w:rPr>
              <w:t>e</w:t>
            </w:r>
            <w:r w:rsidR="00A90AA2">
              <w:rPr>
                <w:rFonts w:ascii="Calibri" w:hAnsi="Calibri" w:cs="Calibri"/>
              </w:rPr>
              <w:t xml:space="preserve">xplain </w:t>
            </w:r>
            <w:r w:rsidRPr="00E055D2">
              <w:rPr>
                <w:rFonts w:ascii="Calibri" w:hAnsi="Calibri" w:cs="Calibri"/>
              </w:rPr>
              <w:t>different models of translation ethics and their implications</w:t>
            </w:r>
            <w:r w:rsidR="00A004B4">
              <w:rPr>
                <w:rFonts w:ascii="Calibri" w:hAnsi="Calibri" w:cs="Calibri"/>
              </w:rPr>
              <w:t>;</w:t>
            </w:r>
            <w:r w:rsidR="00A90AA2">
              <w:rPr>
                <w:rFonts w:ascii="Calibri" w:hAnsi="Calibri" w:cs="Calibri"/>
              </w:rPr>
              <w:t xml:space="preserve"> list translation association</w:t>
            </w:r>
            <w:r w:rsidRPr="00E055D2">
              <w:rPr>
                <w:rFonts w:ascii="Calibri" w:hAnsi="Calibri" w:cs="Calibri"/>
              </w:rPr>
              <w:t>s in Cr</w:t>
            </w:r>
            <w:r w:rsidR="00A90AA2">
              <w:rPr>
                <w:rFonts w:ascii="Calibri" w:hAnsi="Calibri" w:cs="Calibri"/>
              </w:rPr>
              <w:t>oatia and know where to find information about</w:t>
            </w:r>
            <w:r w:rsidR="0091625B">
              <w:rPr>
                <w:rFonts w:ascii="Calibri" w:hAnsi="Calibri" w:cs="Calibri"/>
              </w:rPr>
              <w:t xml:space="preserve"> their </w:t>
            </w:r>
            <w:r w:rsidR="00A90AA2">
              <w:rPr>
                <w:rFonts w:ascii="Calibri" w:hAnsi="Calibri" w:cs="Calibri"/>
              </w:rPr>
              <w:t>activities</w:t>
            </w:r>
            <w:r w:rsidR="0091625B">
              <w:rPr>
                <w:rFonts w:ascii="Calibri" w:hAnsi="Calibri" w:cs="Calibri"/>
              </w:rPr>
              <w:t>;</w:t>
            </w:r>
            <w:r w:rsidR="00A90AA2">
              <w:rPr>
                <w:rFonts w:ascii="Calibri" w:hAnsi="Calibri" w:cs="Calibri"/>
              </w:rPr>
              <w:t xml:space="preserve"> </w:t>
            </w:r>
            <w:r w:rsidRPr="00E055D2">
              <w:rPr>
                <w:rFonts w:ascii="Calibri" w:hAnsi="Calibri" w:cs="Calibri"/>
              </w:rPr>
              <w:t xml:space="preserve">distinguish, list and describe some of the frequently used </w:t>
            </w:r>
            <w:r w:rsidR="00A90AA2">
              <w:rPr>
                <w:rFonts w:ascii="Calibri" w:hAnsi="Calibri" w:cs="Calibri"/>
              </w:rPr>
              <w:t xml:space="preserve">translation </w:t>
            </w:r>
            <w:r w:rsidRPr="00E055D2">
              <w:rPr>
                <w:rFonts w:ascii="Calibri" w:hAnsi="Calibri" w:cs="Calibri"/>
              </w:rPr>
              <w:t>tools and resources relevant to the work of translators</w:t>
            </w:r>
            <w:r w:rsidR="00A90AA2">
              <w:rPr>
                <w:rFonts w:ascii="Calibri" w:hAnsi="Calibri" w:cs="Calibri"/>
              </w:rPr>
              <w:t>.</w:t>
            </w:r>
          </w:p>
        </w:tc>
      </w:tr>
      <w:tr w:rsidR="00714366" w:rsidRPr="00BB3F83" w14:paraId="3DB3782F" w14:textId="77777777" w:rsidTr="00714366">
        <w:tc>
          <w:tcPr>
            <w:tcW w:w="9396" w:type="dxa"/>
            <w:gridSpan w:val="3"/>
          </w:tcPr>
          <w:p w14:paraId="59A10A23" w14:textId="77777777" w:rsidR="00714366" w:rsidRDefault="00EB59AF" w:rsidP="007143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Literature:</w:t>
            </w:r>
          </w:p>
          <w:p w14:paraId="120EC892" w14:textId="77777777" w:rsidR="0072642C" w:rsidRPr="0072642C" w:rsidRDefault="0072642C" w:rsidP="0072642C">
            <w:pPr>
              <w:numPr>
                <w:ilvl w:val="0"/>
                <w:numId w:val="1"/>
              </w:numPr>
              <w:rPr>
                <w:rFonts w:ascii="Calibri" w:hAnsi="Calibri" w:cs="Calibri"/>
                <w:lang w:val="hr-HR"/>
              </w:rPr>
            </w:pPr>
            <w:r w:rsidRPr="0072642C">
              <w:rPr>
                <w:rFonts w:ascii="Calibri" w:hAnsi="Calibri" w:cs="Calibri"/>
                <w:lang w:val="hr-HR"/>
              </w:rPr>
              <w:t>Chesterman, A. – Wagner, E. (2002) Can Theory Help Translators? – A Dialogue Between the Ivory Tower and the Wordface, Manchester, UK – Northampton, MA: St. Jerome Publishing</w:t>
            </w:r>
          </w:p>
          <w:p w14:paraId="5C313313" w14:textId="77777777" w:rsidR="0072642C" w:rsidRPr="0072642C" w:rsidRDefault="0072642C" w:rsidP="0072642C">
            <w:pPr>
              <w:numPr>
                <w:ilvl w:val="0"/>
                <w:numId w:val="1"/>
              </w:numPr>
              <w:rPr>
                <w:rFonts w:ascii="Calibri" w:hAnsi="Calibri" w:cs="Calibri"/>
                <w:lang w:val="hr-HR"/>
              </w:rPr>
            </w:pPr>
            <w:r w:rsidRPr="0072642C">
              <w:rPr>
                <w:rFonts w:ascii="Calibri" w:hAnsi="Calibri" w:cs="Calibri"/>
                <w:lang w:val="hr-HR"/>
              </w:rPr>
              <w:t>Venuti, L. (</w:t>
            </w:r>
            <w:r>
              <w:rPr>
                <w:rFonts w:ascii="Calibri" w:hAnsi="Calibri" w:cs="Calibri"/>
                <w:lang w:val="hr-HR"/>
              </w:rPr>
              <w:t>ed</w:t>
            </w:r>
            <w:r w:rsidRPr="0072642C">
              <w:rPr>
                <w:rFonts w:ascii="Calibri" w:hAnsi="Calibri" w:cs="Calibri"/>
                <w:lang w:val="hr-HR"/>
              </w:rPr>
              <w:t>.) (2000) The Translation Studies Reader, London – New York: Routledge (</w:t>
            </w:r>
            <w:r>
              <w:rPr>
                <w:rFonts w:ascii="Calibri" w:hAnsi="Calibri" w:cs="Calibri"/>
                <w:lang w:val="hr-HR"/>
              </w:rPr>
              <w:t>selected texts</w:t>
            </w:r>
            <w:r w:rsidRPr="0072642C">
              <w:rPr>
                <w:rFonts w:ascii="Calibri" w:hAnsi="Calibri" w:cs="Calibri"/>
                <w:lang w:val="hr-HR"/>
              </w:rPr>
              <w:t>: Holmes, Vermeer)</w:t>
            </w:r>
          </w:p>
          <w:p w14:paraId="668135EB" w14:textId="77777777" w:rsidR="0072642C" w:rsidRDefault="0072642C" w:rsidP="0072642C">
            <w:pPr>
              <w:numPr>
                <w:ilvl w:val="0"/>
                <w:numId w:val="1"/>
              </w:numPr>
              <w:rPr>
                <w:rFonts w:ascii="Calibri" w:hAnsi="Calibri" w:cs="Calibri"/>
                <w:lang w:val="hr-HR"/>
              </w:rPr>
            </w:pPr>
            <w:r w:rsidRPr="0072642C">
              <w:rPr>
                <w:rFonts w:ascii="Calibri" w:hAnsi="Calibri" w:cs="Calibri"/>
                <w:lang w:val="hr-HR"/>
              </w:rPr>
              <w:t xml:space="preserve">Ingo, R. (2007) Konsten att översätta, Lund: Studentlitteratur </w:t>
            </w:r>
          </w:p>
          <w:p w14:paraId="05FE664B" w14:textId="77777777" w:rsidR="009675F0" w:rsidRDefault="009675F0" w:rsidP="00A90AA2">
            <w:pPr>
              <w:ind w:left="360"/>
              <w:rPr>
                <w:rFonts w:ascii="Calibri" w:hAnsi="Calibri" w:cs="Calibri"/>
                <w:lang w:val="hr-HR"/>
              </w:rPr>
            </w:pPr>
          </w:p>
          <w:p w14:paraId="0BA710A2" w14:textId="77777777" w:rsidR="009675F0" w:rsidRDefault="009675F0" w:rsidP="009675F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Complementary:</w:t>
            </w:r>
          </w:p>
          <w:p w14:paraId="2335D1F9" w14:textId="77777777" w:rsidR="009675F0" w:rsidRPr="009675F0" w:rsidRDefault="009675F0" w:rsidP="009675F0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9675F0">
              <w:rPr>
                <w:rFonts w:ascii="Calibri" w:hAnsi="Calibri" w:cs="Calibri"/>
                <w:lang w:val="hr-HR"/>
              </w:rPr>
              <w:t>Baker, M. (</w:t>
            </w:r>
            <w:r>
              <w:rPr>
                <w:rFonts w:ascii="Calibri" w:hAnsi="Calibri" w:cs="Calibri"/>
                <w:lang w:val="hr-HR"/>
              </w:rPr>
              <w:t>ed</w:t>
            </w:r>
            <w:r w:rsidRPr="009675F0">
              <w:rPr>
                <w:rFonts w:ascii="Calibri" w:hAnsi="Calibri" w:cs="Calibri"/>
                <w:lang w:val="hr-HR"/>
              </w:rPr>
              <w:t xml:space="preserve">.) (1998) Routledge Encyclopedia of Translation Studies </w:t>
            </w:r>
          </w:p>
          <w:p w14:paraId="62C4FCFF" w14:textId="77777777" w:rsidR="009675F0" w:rsidRPr="009675F0" w:rsidRDefault="009675F0" w:rsidP="009675F0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9675F0">
              <w:rPr>
                <w:rFonts w:ascii="Calibri" w:hAnsi="Calibri" w:cs="Calibri"/>
                <w:lang w:val="hr-HR"/>
              </w:rPr>
              <w:t>Bowker – Cronin – Kenny – Pearson (</w:t>
            </w:r>
            <w:r>
              <w:rPr>
                <w:rFonts w:ascii="Calibri" w:hAnsi="Calibri" w:cs="Calibri"/>
                <w:lang w:val="hr-HR"/>
              </w:rPr>
              <w:t>ed</w:t>
            </w:r>
            <w:r w:rsidRPr="009675F0">
              <w:rPr>
                <w:rFonts w:ascii="Calibri" w:hAnsi="Calibri" w:cs="Calibri"/>
                <w:lang w:val="hr-HR"/>
              </w:rPr>
              <w:t xml:space="preserve">.) (1998) Unity in Diversity? St. Jerome Publishing </w:t>
            </w:r>
          </w:p>
          <w:p w14:paraId="3A2A9DAD" w14:textId="77777777" w:rsidR="009675F0" w:rsidRPr="00802860" w:rsidRDefault="009675F0" w:rsidP="009675F0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802860">
              <w:rPr>
                <w:rFonts w:ascii="Calibri" w:hAnsi="Calibri" w:cs="Calibri"/>
                <w:lang w:val="hr-HR"/>
              </w:rPr>
              <w:t>Eco, U. (2001) Experiences in Translation</w:t>
            </w:r>
            <w:r w:rsidR="00363E8E">
              <w:rPr>
                <w:rFonts w:ascii="Calibri" w:hAnsi="Calibri" w:cs="Calibri"/>
                <w:lang w:val="hr-HR"/>
              </w:rPr>
              <w:t xml:space="preserve">, </w:t>
            </w:r>
            <w:r w:rsidRPr="00802860">
              <w:rPr>
                <w:rFonts w:ascii="Calibri" w:hAnsi="Calibri" w:cs="Calibri"/>
              </w:rPr>
              <w:t>Toronto: University of Toronto Press</w:t>
            </w:r>
          </w:p>
          <w:p w14:paraId="0FEFC3ED" w14:textId="77777777" w:rsidR="009675F0" w:rsidRPr="009675F0" w:rsidRDefault="009675F0" w:rsidP="009675F0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9675F0">
              <w:rPr>
                <w:rFonts w:ascii="Calibri" w:hAnsi="Calibri" w:cs="Calibri"/>
                <w:lang w:val="hr-HR"/>
              </w:rPr>
              <w:t xml:space="preserve"> Lindqvist, Y. (2005) Högt och lågt i skönlitterär översättning till svenska, Ord och stil 36, Uppsala: Hallgren &amp; Fallgren</w:t>
            </w:r>
          </w:p>
          <w:p w14:paraId="7C3C18E9" w14:textId="77777777" w:rsidR="009675F0" w:rsidRPr="009675F0" w:rsidRDefault="009675F0" w:rsidP="009675F0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9675F0">
              <w:rPr>
                <w:rFonts w:ascii="Calibri" w:hAnsi="Calibri" w:cs="Calibri"/>
                <w:lang w:val="hr-HR"/>
              </w:rPr>
              <w:t xml:space="preserve">Munday, J. (2001) Introducing Translation Studies – Theories and Applications, London – New York: Routledge </w:t>
            </w:r>
          </w:p>
          <w:p w14:paraId="28949D3B" w14:textId="77777777" w:rsidR="009675F0" w:rsidRPr="009675F0" w:rsidRDefault="009675F0" w:rsidP="009675F0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9675F0">
              <w:rPr>
                <w:rFonts w:ascii="Calibri" w:hAnsi="Calibri" w:cs="Calibri"/>
                <w:lang w:val="hr-HR"/>
              </w:rPr>
              <w:t xml:space="preserve">Nord, Ch. (1997) Translating as a Purposeful Activity, St, Jerome Publishing </w:t>
            </w:r>
          </w:p>
          <w:p w14:paraId="68609A33" w14:textId="77777777" w:rsidR="009675F0" w:rsidRPr="009675F0" w:rsidRDefault="009675F0" w:rsidP="009675F0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9675F0">
              <w:rPr>
                <w:rFonts w:ascii="Calibri" w:hAnsi="Calibri" w:cs="Calibri"/>
                <w:lang w:val="hr-HR"/>
              </w:rPr>
              <w:t xml:space="preserve">Prunč, E. (2007) Entwicklungslinien der Translationswissenschaft: Von den Asymmetrien der Sprachen zu den Asymmetrien der Macht, Frank &amp; Timme </w:t>
            </w:r>
          </w:p>
          <w:p w14:paraId="5D089874" w14:textId="77777777" w:rsidR="009675F0" w:rsidRPr="009675F0" w:rsidRDefault="009675F0" w:rsidP="009675F0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9675F0">
              <w:rPr>
                <w:rFonts w:ascii="Calibri" w:hAnsi="Calibri" w:cs="Calibri"/>
                <w:lang w:val="hr-HR"/>
              </w:rPr>
              <w:t>Språkrådet (2013) Från ett språk till ett annat, Falun: Norstedts</w:t>
            </w:r>
          </w:p>
          <w:p w14:paraId="2DCD72A2" w14:textId="77777777" w:rsidR="00EB59AF" w:rsidRPr="0072642C" w:rsidRDefault="009675F0" w:rsidP="009675F0">
            <w:pPr>
              <w:numPr>
                <w:ilvl w:val="0"/>
                <w:numId w:val="2"/>
              </w:numPr>
              <w:rPr>
                <w:rFonts w:ascii="Calibri" w:hAnsi="Calibri" w:cs="Calibri"/>
                <w:lang w:val="hr-HR"/>
              </w:rPr>
            </w:pPr>
            <w:r w:rsidRPr="009675F0">
              <w:rPr>
                <w:rFonts w:ascii="Calibri" w:hAnsi="Calibri" w:cs="Calibri"/>
                <w:lang w:val="hr-HR"/>
              </w:rPr>
              <w:t xml:space="preserve">Wadensjö, C. (1998) Kontakt genom tolk, Stockholm: Dialogos Förlag </w:t>
            </w:r>
          </w:p>
        </w:tc>
      </w:tr>
    </w:tbl>
    <w:p w14:paraId="291679EB" w14:textId="77777777" w:rsidR="00F117E5" w:rsidRDefault="00F117E5" w:rsidP="00714366"/>
    <w:sectPr w:rsidR="00F117E5" w:rsidSect="00D12733">
      <w:pgSz w:w="12240" w:h="15840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A274" w14:textId="77777777" w:rsidR="00E246FF" w:rsidRDefault="00E246FF" w:rsidP="00714366">
      <w:pPr>
        <w:spacing w:after="0" w:line="240" w:lineRule="auto"/>
      </w:pPr>
      <w:r>
        <w:separator/>
      </w:r>
    </w:p>
  </w:endnote>
  <w:endnote w:type="continuationSeparator" w:id="0">
    <w:p w14:paraId="7EB28C3B" w14:textId="77777777" w:rsidR="00E246FF" w:rsidRDefault="00E246FF" w:rsidP="007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F6E6" w14:textId="77777777" w:rsidR="00E246FF" w:rsidRDefault="00E246FF" w:rsidP="00714366">
      <w:pPr>
        <w:spacing w:after="0" w:line="240" w:lineRule="auto"/>
      </w:pPr>
      <w:r>
        <w:separator/>
      </w:r>
    </w:p>
  </w:footnote>
  <w:footnote w:type="continuationSeparator" w:id="0">
    <w:p w14:paraId="1E2EA78D" w14:textId="77777777" w:rsidR="00E246FF" w:rsidRDefault="00E246FF" w:rsidP="00714366">
      <w:pPr>
        <w:spacing w:after="0" w:line="240" w:lineRule="auto"/>
      </w:pPr>
      <w:r>
        <w:continuationSeparator/>
      </w:r>
    </w:p>
  </w:footnote>
  <w:footnote w:id="1">
    <w:p w14:paraId="4DE7C1D9" w14:textId="77777777" w:rsidR="007254DF" w:rsidRPr="00D12733" w:rsidRDefault="007254DF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BA,</w:t>
      </w:r>
      <w:r w:rsidR="00C64195">
        <w:rPr>
          <w:sz w:val="20"/>
          <w:szCs w:val="20"/>
        </w:rPr>
        <w:t xml:space="preserve"> MA, PhD; 2</w:t>
      </w:r>
      <w:r w:rsidR="00C64195" w:rsidRPr="00C64195">
        <w:rPr>
          <w:sz w:val="20"/>
          <w:szCs w:val="20"/>
          <w:vertAlign w:val="superscript"/>
        </w:rPr>
        <w:t>nd</w:t>
      </w:r>
      <w:r w:rsidR="00C64195">
        <w:rPr>
          <w:sz w:val="20"/>
          <w:szCs w:val="20"/>
        </w:rPr>
        <w:t xml:space="preserve"> </w:t>
      </w:r>
      <w:r w:rsidRPr="00D12733">
        <w:rPr>
          <w:sz w:val="20"/>
          <w:szCs w:val="20"/>
        </w:rPr>
        <w:t>year</w:t>
      </w:r>
      <w:r w:rsidR="00C64195">
        <w:rPr>
          <w:sz w:val="20"/>
          <w:szCs w:val="20"/>
        </w:rPr>
        <w:t xml:space="preserve"> …</w:t>
      </w:r>
    </w:p>
  </w:footnote>
  <w:footnote w:id="2">
    <w:p w14:paraId="4F048B55" w14:textId="77777777" w:rsidR="007254DF" w:rsidRPr="00D12733" w:rsidRDefault="007254DF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Winter, Summer, Academic Year</w:t>
      </w:r>
    </w:p>
  </w:footnote>
  <w:footnote w:id="3">
    <w:p w14:paraId="7C620C20" w14:textId="77777777" w:rsidR="00C64195" w:rsidRPr="00C64195" w:rsidRDefault="00C64195" w:rsidP="007E09CB">
      <w:pPr>
        <w:pStyle w:val="Fotnotstext"/>
        <w:jc w:val="both"/>
        <w:rPr>
          <w:lang w:val="hr-HR"/>
        </w:rPr>
      </w:pPr>
      <w:r>
        <w:rPr>
          <w:rStyle w:val="Fotnotsreferens"/>
        </w:rPr>
        <w:footnoteRef/>
      </w:r>
      <w:r>
        <w:t xml:space="preserve"> Teaching language according to </w:t>
      </w:r>
      <w:r w:rsidR="007E09CB">
        <w:t>the regular</w:t>
      </w:r>
      <w:r>
        <w:t xml:space="preserve"> programme (e.g. Croatian, French, Slovenian…)</w:t>
      </w:r>
    </w:p>
  </w:footnote>
  <w:footnote w:id="4">
    <w:p w14:paraId="58781611" w14:textId="77777777" w:rsidR="007254DF" w:rsidRPr="00D12733" w:rsidRDefault="007254DF" w:rsidP="007E09CB">
      <w:pPr>
        <w:pStyle w:val="Fotnotstext"/>
        <w:jc w:val="both"/>
        <w:rPr>
          <w:lang w:val="hr-HR"/>
        </w:rPr>
      </w:pPr>
      <w:r w:rsidRPr="00D12733">
        <w:rPr>
          <w:rStyle w:val="Fotnotsreferens"/>
        </w:rPr>
        <w:footnoteRef/>
      </w:r>
      <w:r w:rsidRPr="00D12733">
        <w:t xml:space="preserve"> Direct instructions: teaching through lectures/seminars/exercises and teacher-led demonstrations in the classroom; Presentations; Classroom discussion; E-Learning (Omega, etc.); Fieldwork; Other (specify)</w:t>
      </w:r>
    </w:p>
  </w:footnote>
  <w:footnote w:id="5">
    <w:p w14:paraId="11F3807E" w14:textId="77777777" w:rsidR="00BC2B7F" w:rsidRPr="00D12733" w:rsidRDefault="00BC2B7F" w:rsidP="007E09CB">
      <w:pPr>
        <w:pStyle w:val="Fotnotstext"/>
        <w:jc w:val="both"/>
        <w:rPr>
          <w:lang w:val="hr-HR"/>
        </w:rPr>
      </w:pPr>
      <w:r w:rsidRPr="00D12733">
        <w:rPr>
          <w:rStyle w:val="Fotnotsreferens"/>
        </w:rPr>
        <w:footnoteRef/>
      </w:r>
      <w:r w:rsidRPr="00D12733">
        <w:t xml:space="preserve"> </w:t>
      </w:r>
      <w:r w:rsidRPr="00D12733">
        <w:rPr>
          <w:lang w:val="hr-HR"/>
        </w:rPr>
        <w:t>According to CEFR (e.g. English B2, German C1…)</w:t>
      </w:r>
    </w:p>
  </w:footnote>
  <w:footnote w:id="6">
    <w:p w14:paraId="45950DFB" w14:textId="77777777" w:rsidR="00C64195" w:rsidRDefault="00BC2B7F" w:rsidP="007E09CB">
      <w:pPr>
        <w:pStyle w:val="Fotnotstext"/>
        <w:jc w:val="both"/>
      </w:pPr>
      <w:r w:rsidRPr="00D12733">
        <w:rPr>
          <w:rStyle w:val="Fotnotsreferens"/>
        </w:rPr>
        <w:footnoteRef/>
      </w:r>
      <w:r w:rsidR="00C64195">
        <w:t xml:space="preserve"> </w:t>
      </w:r>
      <w:r w:rsidR="00C64195" w:rsidRPr="00D933EA">
        <w:rPr>
          <w:b/>
        </w:rPr>
        <w:t>Language options for guest (exchange) students):</w:t>
      </w:r>
    </w:p>
    <w:p w14:paraId="02463678" w14:textId="77777777" w:rsidR="00D12733" w:rsidRPr="00D12733" w:rsidRDefault="00D12733" w:rsidP="007E09CB">
      <w:pPr>
        <w:pStyle w:val="Fotnotstext"/>
        <w:jc w:val="both"/>
      </w:pPr>
      <w:r w:rsidRPr="00D12733">
        <w:t>L1 - All teaching activities will be held in regular teaching language. However, guest (</w:t>
      </w:r>
      <w:r w:rsidRPr="00D06704">
        <w:t>exchange) students will have the opportunity to attend additional consultations with the lecturer and teaching assistants in foreign language</w:t>
      </w:r>
      <w:r w:rsidR="00CD030E" w:rsidRPr="00D06704">
        <w:t xml:space="preserve"> (indicated as teaching language</w:t>
      </w:r>
      <w:r w:rsidR="00662550" w:rsidRPr="00D06704">
        <w:t xml:space="preserve"> for guest (exchange) students</w:t>
      </w:r>
      <w:r w:rsidR="00E471DE" w:rsidRPr="00D06704">
        <w:t>)</w:t>
      </w:r>
      <w:r w:rsidR="00662550" w:rsidRPr="00D06704">
        <w:t>,</w:t>
      </w:r>
      <w:r w:rsidRPr="00D06704">
        <w:t xml:space="preserve"> to help master the course materials. Additionally,</w:t>
      </w:r>
      <w:r w:rsidRPr="00D12733">
        <w:t xml:space="preserve"> the lecturer will refer guest (exchange) students to the corresponding literature in foreign </w:t>
      </w:r>
      <w:r w:rsidR="00AB04BF" w:rsidRPr="00D12733">
        <w:t>language</w:t>
      </w:r>
      <w:r w:rsidR="00AB04BF">
        <w:t>,</w:t>
      </w:r>
      <w:r w:rsidRPr="00D12733">
        <w:t xml:space="preserve"> as well as give them the possibility of taking the associated exams in foreign language.</w:t>
      </w:r>
    </w:p>
    <w:p w14:paraId="5AA45CBA" w14:textId="77777777" w:rsidR="00BC2B7F" w:rsidRPr="00D12733" w:rsidRDefault="00D12733" w:rsidP="007E09CB">
      <w:pPr>
        <w:pStyle w:val="Fotnotstext"/>
        <w:jc w:val="both"/>
        <w:rPr>
          <w:lang w:val="hr-HR"/>
        </w:rPr>
      </w:pPr>
      <w:r w:rsidRPr="00D12733">
        <w:t>L2 - All teaching activities will be held</w:t>
      </w:r>
      <w:r w:rsidR="00C64195">
        <w:t xml:space="preserve"> </w:t>
      </w:r>
      <w:r w:rsidR="00C64195" w:rsidRPr="00D12733">
        <w:t>in</w:t>
      </w:r>
      <w:r w:rsidRPr="00D12733">
        <w:t xml:space="preserve"> regular teaching language</w:t>
      </w:r>
      <w:r w:rsidR="00C64195">
        <w:t xml:space="preserve"> only</w:t>
      </w:r>
      <w:r w:rsidRPr="00D12733">
        <w:t>.</w:t>
      </w:r>
    </w:p>
  </w:footnote>
  <w:footnote w:id="7">
    <w:p w14:paraId="6E86422E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  <w:lang w:val="hr-HR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Class attendance, Essay, Preliminary exam, Seminar paper, Practical work, Written exam, Oral Exam, Other (specify)</w:t>
      </w:r>
    </w:p>
  </w:footnote>
  <w:footnote w:id="8">
    <w:p w14:paraId="2FA5E429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rStyle w:val="Fotnotsreferens"/>
          <w:sz w:val="20"/>
          <w:szCs w:val="20"/>
        </w:rPr>
        <w:footnoteRef/>
      </w:r>
      <w:r w:rsidRPr="00D12733">
        <w:rPr>
          <w:sz w:val="20"/>
          <w:szCs w:val="20"/>
        </w:rPr>
        <w:t xml:space="preserve"> Standard - the institutional grading system (5 Excellent; 4 Very good; 3 Good; 2 Sufficient; 1 Fail)</w:t>
      </w:r>
    </w:p>
    <w:p w14:paraId="0A2EBFB5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 xml:space="preserve">Additional: </w:t>
      </w:r>
    </w:p>
    <w:p w14:paraId="3E7D28D1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RA - Regular Attendance (No ECTS credits awarded for course attendance only)</w:t>
      </w:r>
    </w:p>
    <w:p w14:paraId="6293BE41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C - Completed (Student has completed proscribed obligations/no ECTS credits awarded)</w:t>
      </w:r>
    </w:p>
    <w:p w14:paraId="58F6A5C5" w14:textId="77777777" w:rsidR="00D12733" w:rsidRPr="00D12733" w:rsidRDefault="00D12733" w:rsidP="007E09CB">
      <w:pPr>
        <w:spacing w:after="0" w:line="240" w:lineRule="auto"/>
        <w:jc w:val="both"/>
        <w:rPr>
          <w:sz w:val="20"/>
          <w:szCs w:val="20"/>
        </w:rPr>
      </w:pPr>
      <w:r w:rsidRPr="00D12733">
        <w:rPr>
          <w:sz w:val="20"/>
          <w:szCs w:val="20"/>
        </w:rPr>
        <w:t>C+ – Completed + ECTS (Student has completed proscribed obligations + ECTS credits awarded)</w:t>
      </w:r>
    </w:p>
    <w:p w14:paraId="09424E76" w14:textId="77777777" w:rsidR="00D12733" w:rsidRPr="00D12733" w:rsidRDefault="00D12733">
      <w:pPr>
        <w:pStyle w:val="Fotnots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5739"/>
    <w:multiLevelType w:val="multilevel"/>
    <w:tmpl w:val="C838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64D7E"/>
    <w:multiLevelType w:val="multilevel"/>
    <w:tmpl w:val="2C9C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0089188">
    <w:abstractNumId w:val="0"/>
  </w:num>
  <w:num w:numId="2" w16cid:durableId="160356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366"/>
    <w:rsid w:val="000170DF"/>
    <w:rsid w:val="00034999"/>
    <w:rsid w:val="0007245F"/>
    <w:rsid w:val="0007566C"/>
    <w:rsid w:val="000E3614"/>
    <w:rsid w:val="00120BC5"/>
    <w:rsid w:val="00172759"/>
    <w:rsid w:val="00195BAC"/>
    <w:rsid w:val="001B78C7"/>
    <w:rsid w:val="00230887"/>
    <w:rsid w:val="00255E3F"/>
    <w:rsid w:val="0028123B"/>
    <w:rsid w:val="00297469"/>
    <w:rsid w:val="002C02CF"/>
    <w:rsid w:val="002E0262"/>
    <w:rsid w:val="00316CBB"/>
    <w:rsid w:val="0035348F"/>
    <w:rsid w:val="00363E8E"/>
    <w:rsid w:val="00375E26"/>
    <w:rsid w:val="003804F7"/>
    <w:rsid w:val="00381EEA"/>
    <w:rsid w:val="003B1E7C"/>
    <w:rsid w:val="003E03D6"/>
    <w:rsid w:val="003E35E6"/>
    <w:rsid w:val="00465279"/>
    <w:rsid w:val="00493063"/>
    <w:rsid w:val="004C7686"/>
    <w:rsid w:val="00525147"/>
    <w:rsid w:val="00533F12"/>
    <w:rsid w:val="005D7B91"/>
    <w:rsid w:val="0062222F"/>
    <w:rsid w:val="00662550"/>
    <w:rsid w:val="00675172"/>
    <w:rsid w:val="006A35EF"/>
    <w:rsid w:val="00714366"/>
    <w:rsid w:val="00723834"/>
    <w:rsid w:val="007254DF"/>
    <w:rsid w:val="0072642C"/>
    <w:rsid w:val="007953B8"/>
    <w:rsid w:val="007E09CB"/>
    <w:rsid w:val="00800834"/>
    <w:rsid w:val="00802860"/>
    <w:rsid w:val="008212A4"/>
    <w:rsid w:val="0087018E"/>
    <w:rsid w:val="009047B0"/>
    <w:rsid w:val="0091625B"/>
    <w:rsid w:val="00924E9B"/>
    <w:rsid w:val="0092582F"/>
    <w:rsid w:val="00931138"/>
    <w:rsid w:val="0093563B"/>
    <w:rsid w:val="00966206"/>
    <w:rsid w:val="00966E70"/>
    <w:rsid w:val="009675F0"/>
    <w:rsid w:val="009A2581"/>
    <w:rsid w:val="009C6004"/>
    <w:rsid w:val="009D6A07"/>
    <w:rsid w:val="00A004B4"/>
    <w:rsid w:val="00A01504"/>
    <w:rsid w:val="00A02772"/>
    <w:rsid w:val="00A03EE5"/>
    <w:rsid w:val="00A90AA2"/>
    <w:rsid w:val="00AB04BF"/>
    <w:rsid w:val="00AC000C"/>
    <w:rsid w:val="00AC5401"/>
    <w:rsid w:val="00AD64A3"/>
    <w:rsid w:val="00AE782F"/>
    <w:rsid w:val="00BB3F83"/>
    <w:rsid w:val="00BC2B7F"/>
    <w:rsid w:val="00BF7AAA"/>
    <w:rsid w:val="00C122B0"/>
    <w:rsid w:val="00C435DF"/>
    <w:rsid w:val="00C64195"/>
    <w:rsid w:val="00CD030E"/>
    <w:rsid w:val="00CD71CF"/>
    <w:rsid w:val="00D06704"/>
    <w:rsid w:val="00D12733"/>
    <w:rsid w:val="00D22C49"/>
    <w:rsid w:val="00D9106D"/>
    <w:rsid w:val="00D933EA"/>
    <w:rsid w:val="00DB0238"/>
    <w:rsid w:val="00E055D2"/>
    <w:rsid w:val="00E203E8"/>
    <w:rsid w:val="00E246FF"/>
    <w:rsid w:val="00E471DE"/>
    <w:rsid w:val="00E96D5B"/>
    <w:rsid w:val="00EB59AF"/>
    <w:rsid w:val="00EF3067"/>
    <w:rsid w:val="00EF614B"/>
    <w:rsid w:val="00F117E5"/>
    <w:rsid w:val="00F24889"/>
    <w:rsid w:val="00F60DFB"/>
    <w:rsid w:val="00F9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E85D"/>
  <w15:docId w15:val="{C788188F-625E-4BD7-9741-52519306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1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1436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436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1436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6E7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67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A995-1B16-4443-9A52-0DD2C835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Sara Profeta</cp:lastModifiedBy>
  <cp:revision>8</cp:revision>
  <cp:lastPrinted>2019-02-18T13:08:00Z</cp:lastPrinted>
  <dcterms:created xsi:type="dcterms:W3CDTF">2019-03-02T11:05:00Z</dcterms:created>
  <dcterms:modified xsi:type="dcterms:W3CDTF">2024-10-24T12:25:00Z</dcterms:modified>
</cp:coreProperties>
</file>