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2E33" w14:textId="77777777" w:rsidR="00AA3BAD" w:rsidRDefault="00AA3BAD" w:rsidP="00A56D77">
      <w:pPr>
        <w:spacing w:line="240" w:lineRule="auto"/>
      </w:pPr>
    </w:p>
    <w:tbl>
      <w:tblPr>
        <w:tblStyle w:val="TableGrid"/>
        <w:tblpPr w:leftFromText="180" w:rightFromText="180" w:horzAnchor="margin" w:tblpY="885"/>
        <w:tblW w:w="9397" w:type="dxa"/>
        <w:tblCellMar>
          <w:left w:w="103" w:type="dxa"/>
        </w:tblCellMar>
        <w:tblLook w:val="04A0" w:firstRow="1" w:lastRow="0" w:firstColumn="1" w:lastColumn="0" w:noHBand="0" w:noVBand="1"/>
      </w:tblPr>
      <w:tblGrid>
        <w:gridCol w:w="3132"/>
        <w:gridCol w:w="3132"/>
        <w:gridCol w:w="3133"/>
      </w:tblGrid>
      <w:tr w:rsidR="00AA3BAD" w14:paraId="4DDB73B5" w14:textId="77777777">
        <w:tc>
          <w:tcPr>
            <w:tcW w:w="9397" w:type="dxa"/>
            <w:gridSpan w:val="3"/>
            <w:tcMar>
              <w:left w:w="103" w:type="dxa"/>
            </w:tcMar>
          </w:tcPr>
          <w:p w14:paraId="35E92FCC" w14:textId="77777777" w:rsidR="00AA3BAD" w:rsidRDefault="00FB0D23" w:rsidP="00A56D77">
            <w:pPr>
              <w:spacing w:after="0" w:line="240" w:lineRule="auto"/>
            </w:pPr>
            <w:r>
              <w:rPr>
                <w:rFonts w:cs="Calibri"/>
              </w:rPr>
              <w:t>STUDY PROGRAMME: Polish Language and Literature</w:t>
            </w:r>
          </w:p>
        </w:tc>
      </w:tr>
      <w:tr w:rsidR="00AA3BAD" w14:paraId="5CEF9511" w14:textId="77777777">
        <w:tc>
          <w:tcPr>
            <w:tcW w:w="9397" w:type="dxa"/>
            <w:gridSpan w:val="3"/>
            <w:tcMar>
              <w:left w:w="103" w:type="dxa"/>
            </w:tcMar>
          </w:tcPr>
          <w:p w14:paraId="76F2D558" w14:textId="77777777" w:rsidR="00AA3BAD" w:rsidRDefault="00FB0D23" w:rsidP="00A56D77">
            <w:pPr>
              <w:spacing w:after="0" w:line="240" w:lineRule="auto"/>
            </w:pPr>
            <w:r>
              <w:rPr>
                <w:rFonts w:cs="Calibri"/>
              </w:rPr>
              <w:t>Level and Year</w:t>
            </w:r>
            <w:r>
              <w:rPr>
                <w:rStyle w:val="FootnoteAnchor"/>
                <w:rFonts w:cs="Calibri"/>
              </w:rPr>
              <w:footnoteReference w:id="1"/>
            </w:r>
            <w:r>
              <w:rPr>
                <w:rFonts w:cs="Calibri"/>
              </w:rPr>
              <w:t xml:space="preserve">: </w:t>
            </w:r>
            <w:r>
              <w:rPr>
                <w:rFonts w:cs="Calibri"/>
                <w:color w:val="FF0000"/>
              </w:rPr>
              <w:t xml:space="preserve"> </w:t>
            </w:r>
            <w:r w:rsidR="00A56D77" w:rsidRPr="00532DB7">
              <w:rPr>
                <w:rFonts w:cs="Calibri"/>
                <w:color w:val="FF0000"/>
              </w:rPr>
              <w:t xml:space="preserve"> MA, 1</w:t>
            </w:r>
            <w:r w:rsidR="00A56D77" w:rsidRPr="00532DB7">
              <w:rPr>
                <w:rFonts w:cs="Calibri"/>
                <w:color w:val="FF0000"/>
                <w:vertAlign w:val="superscript"/>
              </w:rPr>
              <w:t>st</w:t>
            </w:r>
            <w:r w:rsidR="00A56D77" w:rsidRPr="00532DB7">
              <w:rPr>
                <w:rFonts w:cs="Calibri"/>
                <w:color w:val="FF0000"/>
              </w:rPr>
              <w:t xml:space="preserve"> year</w:t>
            </w:r>
          </w:p>
        </w:tc>
      </w:tr>
      <w:tr w:rsidR="00AA3BAD" w14:paraId="3E3F669B" w14:textId="77777777">
        <w:tc>
          <w:tcPr>
            <w:tcW w:w="9397" w:type="dxa"/>
            <w:gridSpan w:val="3"/>
            <w:tcMar>
              <w:left w:w="103" w:type="dxa"/>
            </w:tcMar>
          </w:tcPr>
          <w:p w14:paraId="6E369001" w14:textId="77777777" w:rsidR="00AA3BAD" w:rsidRDefault="00FB0D23" w:rsidP="00A56D77">
            <w:pPr>
              <w:spacing w:after="0" w:line="240" w:lineRule="auto"/>
            </w:pPr>
            <w:r>
              <w:rPr>
                <w:rFonts w:cs="Calibri"/>
              </w:rPr>
              <w:t xml:space="preserve">Course Title: </w:t>
            </w:r>
            <w:r w:rsidR="00A56D77" w:rsidRPr="00532DB7">
              <w:rPr>
                <w:rFonts w:cs="Calibri"/>
              </w:rPr>
              <w:t xml:space="preserve"> Adam Mickiewicz</w:t>
            </w:r>
          </w:p>
        </w:tc>
      </w:tr>
      <w:tr w:rsidR="00AA3BAD" w14:paraId="1AD056C1" w14:textId="77777777">
        <w:tc>
          <w:tcPr>
            <w:tcW w:w="9397" w:type="dxa"/>
            <w:gridSpan w:val="3"/>
            <w:tcMar>
              <w:left w:w="103" w:type="dxa"/>
            </w:tcMar>
          </w:tcPr>
          <w:p w14:paraId="2150260C" w14:textId="3DD578F0" w:rsidR="00AA3BAD" w:rsidRPr="004176DF" w:rsidRDefault="00FB0D23" w:rsidP="004176DF">
            <w:pPr>
              <w:spacing w:line="240" w:lineRule="auto"/>
              <w:rPr>
                <w:rFonts w:eastAsia="Times New Roman" w:cs="Times New Roman"/>
                <w:lang w:val="hr-HR" w:eastAsia="hr-HR"/>
              </w:rPr>
            </w:pPr>
            <w:r>
              <w:rPr>
                <w:rFonts w:cs="Calibri"/>
              </w:rPr>
              <w:t xml:space="preserve">Course Description: </w:t>
            </w:r>
            <w:r w:rsidR="00A56D77" w:rsidRPr="00532DB7">
              <w:rPr>
                <w:rFonts w:eastAsia="Times New Roman" w:cs="Times New Roman"/>
                <w:lang w:val="hr-HR" w:eastAsia="hr-HR"/>
              </w:rPr>
              <w:t xml:space="preserve"> The course introduces students to the literary work of Adam Mickiewicz, the greatest Polish poet which has strongly marked the development of Polish literature in the last two centuries. Because of this fact, the insight into Mickiewicz's creativity has a fundamental meaning for understanding not only mother national literature, but also Polish culture in general.</w:t>
            </w:r>
          </w:p>
        </w:tc>
      </w:tr>
      <w:tr w:rsidR="00AA3BAD" w14:paraId="303DE0E3" w14:textId="77777777">
        <w:tc>
          <w:tcPr>
            <w:tcW w:w="9397" w:type="dxa"/>
            <w:gridSpan w:val="3"/>
            <w:tcMar>
              <w:left w:w="103" w:type="dxa"/>
            </w:tcMar>
          </w:tcPr>
          <w:p w14:paraId="459CED06" w14:textId="77777777" w:rsidR="00AA3BAD" w:rsidRDefault="00FB0D23" w:rsidP="00A56D77">
            <w:pPr>
              <w:spacing w:after="0" w:line="240" w:lineRule="auto"/>
            </w:pPr>
            <w:r>
              <w:rPr>
                <w:rFonts w:cs="Calibri"/>
              </w:rPr>
              <w:t>Semester</w:t>
            </w:r>
            <w:r>
              <w:rPr>
                <w:rStyle w:val="FootnoteAnchor"/>
                <w:rFonts w:cs="Calibri"/>
              </w:rPr>
              <w:footnoteReference w:id="2"/>
            </w:r>
            <w:r>
              <w:rPr>
                <w:rFonts w:cs="Calibri"/>
              </w:rPr>
              <w:t>:</w:t>
            </w:r>
            <w:r w:rsidR="00A56D77">
              <w:rPr>
                <w:rFonts w:cs="Calibri"/>
                <w:color w:val="FF0000"/>
              </w:rPr>
              <w:t xml:space="preserve"> W</w:t>
            </w:r>
            <w:r>
              <w:rPr>
                <w:rFonts w:cs="Calibri"/>
                <w:color w:val="FF0000"/>
              </w:rPr>
              <w:t>inter semester</w:t>
            </w:r>
          </w:p>
        </w:tc>
      </w:tr>
      <w:tr w:rsidR="00AA3BAD" w:rsidRPr="00A56D77" w14:paraId="1E391152" w14:textId="77777777">
        <w:tc>
          <w:tcPr>
            <w:tcW w:w="9397" w:type="dxa"/>
            <w:gridSpan w:val="3"/>
            <w:tcMar>
              <w:left w:w="103" w:type="dxa"/>
            </w:tcMar>
          </w:tcPr>
          <w:p w14:paraId="50E938E9" w14:textId="11B8FD07" w:rsidR="00AA3BAD" w:rsidRPr="00A56D77" w:rsidRDefault="00FB0D23" w:rsidP="00A56D77">
            <w:pPr>
              <w:spacing w:after="0" w:line="240" w:lineRule="auto"/>
            </w:pPr>
            <w:r w:rsidRPr="00A56D77">
              <w:rPr>
                <w:rFonts w:cs="Calibri"/>
              </w:rPr>
              <w:t xml:space="preserve">Lecturer(s)/Teacher(s): </w:t>
            </w:r>
            <w:r w:rsidR="00A56D77" w:rsidRPr="00532DB7">
              <w:rPr>
                <w:rFonts w:cs="Calibri"/>
              </w:rPr>
              <w:t xml:space="preserve"> </w:t>
            </w:r>
            <w:r w:rsidR="00A766B3">
              <w:rPr>
                <w:rFonts w:cs="Calibri"/>
              </w:rPr>
              <w:t xml:space="preserve">Filip Kozina, </w:t>
            </w:r>
            <w:r w:rsidR="00A56D77" w:rsidRPr="00532DB7">
              <w:rPr>
                <w:lang w:val="en-GB"/>
              </w:rPr>
              <w:t>PhD</w:t>
            </w:r>
            <w:r w:rsidR="00A766B3">
              <w:rPr>
                <w:lang w:val="en-GB"/>
              </w:rPr>
              <w:t>; Sandra Banas</w:t>
            </w:r>
          </w:p>
        </w:tc>
      </w:tr>
      <w:tr w:rsidR="00AA3BAD" w14:paraId="383BD486" w14:textId="77777777">
        <w:tc>
          <w:tcPr>
            <w:tcW w:w="9397" w:type="dxa"/>
            <w:gridSpan w:val="3"/>
            <w:tcMar>
              <w:left w:w="103" w:type="dxa"/>
            </w:tcMar>
          </w:tcPr>
          <w:p w14:paraId="0E5A45FE" w14:textId="77777777" w:rsidR="00AA3BAD" w:rsidRDefault="00FB0D23" w:rsidP="00A56D77">
            <w:pPr>
              <w:spacing w:after="0" w:line="240" w:lineRule="auto"/>
            </w:pPr>
            <w:r>
              <w:rPr>
                <w:rFonts w:cs="Calibri"/>
              </w:rPr>
              <w:t>Teaching Language (regular)</w:t>
            </w:r>
            <w:r>
              <w:rPr>
                <w:rStyle w:val="FootnoteAnchor"/>
                <w:rFonts w:cs="Calibri"/>
              </w:rPr>
              <w:footnoteReference w:id="3"/>
            </w:r>
            <w:r>
              <w:rPr>
                <w:rFonts w:cs="Calibri"/>
              </w:rPr>
              <w:t>: Polish and Croatian</w:t>
            </w:r>
          </w:p>
        </w:tc>
      </w:tr>
      <w:tr w:rsidR="00AA3BAD" w14:paraId="594D19F3" w14:textId="77777777">
        <w:tc>
          <w:tcPr>
            <w:tcW w:w="9397" w:type="dxa"/>
            <w:gridSpan w:val="3"/>
            <w:tcMar>
              <w:left w:w="103" w:type="dxa"/>
            </w:tcMar>
          </w:tcPr>
          <w:p w14:paraId="6A54FBCF" w14:textId="77777777" w:rsidR="00AA3BAD" w:rsidRPr="004176DF" w:rsidRDefault="00FB0D23" w:rsidP="004176DF">
            <w:pPr>
              <w:spacing w:line="240" w:lineRule="auto"/>
              <w:rPr>
                <w:rFonts w:cs="Calibri"/>
              </w:rPr>
            </w:pPr>
            <w:r>
              <w:rPr>
                <w:rFonts w:cs="Calibri"/>
              </w:rPr>
              <w:t>Teaching Methods (regular):</w:t>
            </w:r>
            <w:r>
              <w:rPr>
                <w:rStyle w:val="FootnoteAnchor"/>
                <w:rFonts w:cs="Calibri"/>
              </w:rPr>
              <w:footnoteReference w:id="4"/>
            </w:r>
            <w:r>
              <w:rPr>
                <w:rFonts w:cs="Calibri"/>
              </w:rPr>
              <w:t xml:space="preserve"> </w:t>
            </w:r>
            <w:r w:rsidR="00A56D77" w:rsidRPr="00532DB7">
              <w:rPr>
                <w:rFonts w:cs="Calibri"/>
              </w:rPr>
              <w:t xml:space="preserve"> teaching through lectures/seminars; Presentations; Classroom discussion; E-Learning</w:t>
            </w:r>
          </w:p>
        </w:tc>
      </w:tr>
      <w:tr w:rsidR="00AA3BAD" w14:paraId="2C53BA42" w14:textId="77777777">
        <w:tc>
          <w:tcPr>
            <w:tcW w:w="3132" w:type="dxa"/>
            <w:tcMar>
              <w:left w:w="103" w:type="dxa"/>
            </w:tcMar>
          </w:tcPr>
          <w:p w14:paraId="7DE972BD" w14:textId="77777777" w:rsidR="00AA3BAD" w:rsidRDefault="00FB0D23" w:rsidP="00A56D77">
            <w:pPr>
              <w:spacing w:after="0" w:line="240" w:lineRule="auto"/>
              <w:rPr>
                <w:rFonts w:ascii="Calibri" w:hAnsi="Calibri" w:cs="Calibri"/>
              </w:rPr>
            </w:pPr>
            <w:r>
              <w:rPr>
                <w:rFonts w:cs="Calibri"/>
              </w:rPr>
              <w:t>Teaching:</w:t>
            </w:r>
          </w:p>
        </w:tc>
        <w:tc>
          <w:tcPr>
            <w:tcW w:w="3132" w:type="dxa"/>
            <w:tcMar>
              <w:left w:w="103" w:type="dxa"/>
            </w:tcMar>
          </w:tcPr>
          <w:p w14:paraId="7FE3B956" w14:textId="77777777" w:rsidR="00AA3BAD" w:rsidRDefault="00FB0D23" w:rsidP="00A56D77">
            <w:pPr>
              <w:spacing w:after="0" w:line="240" w:lineRule="auto"/>
              <w:rPr>
                <w:rFonts w:ascii="Calibri" w:hAnsi="Calibri" w:cs="Calibri"/>
              </w:rPr>
            </w:pPr>
            <w:r>
              <w:rPr>
                <w:rFonts w:cs="Calibri"/>
              </w:rPr>
              <w:t>Weekly (hours)</w:t>
            </w:r>
          </w:p>
        </w:tc>
        <w:tc>
          <w:tcPr>
            <w:tcW w:w="3133" w:type="dxa"/>
            <w:tcMar>
              <w:left w:w="103" w:type="dxa"/>
            </w:tcMar>
          </w:tcPr>
          <w:p w14:paraId="5E4A2209" w14:textId="77777777" w:rsidR="00AA3BAD" w:rsidRDefault="00FB0D23" w:rsidP="00A56D77">
            <w:pPr>
              <w:spacing w:after="0" w:line="240" w:lineRule="auto"/>
              <w:rPr>
                <w:rFonts w:ascii="Calibri" w:hAnsi="Calibri" w:cs="Calibri"/>
              </w:rPr>
            </w:pPr>
            <w:r>
              <w:rPr>
                <w:rFonts w:cs="Calibri"/>
              </w:rPr>
              <w:t>Semester (hours)</w:t>
            </w:r>
          </w:p>
          <w:p w14:paraId="5D088E9B" w14:textId="77777777" w:rsidR="00AA3BAD" w:rsidRDefault="00AA3BAD" w:rsidP="00A56D77">
            <w:pPr>
              <w:spacing w:after="0" w:line="240" w:lineRule="auto"/>
              <w:rPr>
                <w:rFonts w:ascii="Calibri" w:hAnsi="Calibri" w:cs="Calibri"/>
              </w:rPr>
            </w:pPr>
          </w:p>
        </w:tc>
      </w:tr>
      <w:tr w:rsidR="00AA3BAD" w14:paraId="72EC620D" w14:textId="77777777">
        <w:tc>
          <w:tcPr>
            <w:tcW w:w="3132" w:type="dxa"/>
            <w:tcMar>
              <w:left w:w="103" w:type="dxa"/>
            </w:tcMar>
          </w:tcPr>
          <w:p w14:paraId="231D49AC" w14:textId="77777777" w:rsidR="00AA3BAD" w:rsidRDefault="00FB0D23" w:rsidP="00A56D77">
            <w:pPr>
              <w:spacing w:after="0" w:line="240" w:lineRule="auto"/>
              <w:rPr>
                <w:rFonts w:ascii="Calibri" w:hAnsi="Calibri" w:cs="Calibri"/>
              </w:rPr>
            </w:pPr>
            <w:r>
              <w:rPr>
                <w:rFonts w:cs="Calibri"/>
              </w:rPr>
              <w:t>Lectures:</w:t>
            </w:r>
          </w:p>
        </w:tc>
        <w:tc>
          <w:tcPr>
            <w:tcW w:w="3132" w:type="dxa"/>
            <w:tcMar>
              <w:left w:w="103" w:type="dxa"/>
            </w:tcMar>
          </w:tcPr>
          <w:p w14:paraId="35A02134" w14:textId="77777777" w:rsidR="00AA3BAD" w:rsidRDefault="00A56D77" w:rsidP="00A56D77">
            <w:pPr>
              <w:spacing w:after="0" w:line="240" w:lineRule="auto"/>
              <w:rPr>
                <w:rFonts w:ascii="Calibri" w:hAnsi="Calibri" w:cs="Calibri"/>
              </w:rPr>
            </w:pPr>
            <w:r>
              <w:rPr>
                <w:rFonts w:cs="Calibri"/>
              </w:rPr>
              <w:t>1</w:t>
            </w:r>
            <w:r w:rsidR="00FB0D23">
              <w:rPr>
                <w:rFonts w:cs="Calibri"/>
              </w:rPr>
              <w:t xml:space="preserve"> hours</w:t>
            </w:r>
          </w:p>
        </w:tc>
        <w:tc>
          <w:tcPr>
            <w:tcW w:w="3133" w:type="dxa"/>
            <w:tcMar>
              <w:left w:w="103" w:type="dxa"/>
            </w:tcMar>
          </w:tcPr>
          <w:p w14:paraId="5B2699F0" w14:textId="77777777" w:rsidR="00AA3BAD" w:rsidRDefault="00A56D77" w:rsidP="00A56D77">
            <w:pPr>
              <w:spacing w:after="0" w:line="240" w:lineRule="auto"/>
              <w:rPr>
                <w:rFonts w:ascii="Calibri" w:hAnsi="Calibri" w:cs="Calibri"/>
              </w:rPr>
            </w:pPr>
            <w:r>
              <w:rPr>
                <w:rFonts w:cs="Calibri"/>
              </w:rPr>
              <w:t>15</w:t>
            </w:r>
            <w:r w:rsidR="00FB0D23">
              <w:rPr>
                <w:rFonts w:cs="Calibri"/>
              </w:rPr>
              <w:t xml:space="preserve"> hours</w:t>
            </w:r>
          </w:p>
        </w:tc>
      </w:tr>
      <w:tr w:rsidR="00AA3BAD" w14:paraId="0BBD1E9F" w14:textId="77777777">
        <w:tc>
          <w:tcPr>
            <w:tcW w:w="3132" w:type="dxa"/>
            <w:tcMar>
              <w:left w:w="103" w:type="dxa"/>
            </w:tcMar>
          </w:tcPr>
          <w:p w14:paraId="717A9311" w14:textId="77777777" w:rsidR="00AA3BAD" w:rsidRDefault="00FB0D23" w:rsidP="00A56D77">
            <w:pPr>
              <w:spacing w:after="0" w:line="240" w:lineRule="auto"/>
              <w:rPr>
                <w:rFonts w:ascii="Calibri" w:hAnsi="Calibri" w:cs="Calibri"/>
              </w:rPr>
            </w:pPr>
            <w:r>
              <w:rPr>
                <w:rFonts w:cs="Calibri"/>
              </w:rPr>
              <w:t>Exercises:</w:t>
            </w:r>
          </w:p>
        </w:tc>
        <w:tc>
          <w:tcPr>
            <w:tcW w:w="3132" w:type="dxa"/>
            <w:tcMar>
              <w:left w:w="103" w:type="dxa"/>
            </w:tcMar>
          </w:tcPr>
          <w:p w14:paraId="0668E73E" w14:textId="77777777" w:rsidR="00AA3BAD" w:rsidRDefault="00A56D77" w:rsidP="00A56D77">
            <w:pPr>
              <w:spacing w:after="0" w:line="240" w:lineRule="auto"/>
              <w:rPr>
                <w:rFonts w:ascii="Calibri" w:hAnsi="Calibri" w:cs="Calibri"/>
              </w:rPr>
            </w:pPr>
            <w:r>
              <w:rPr>
                <w:rFonts w:cs="Calibri"/>
              </w:rPr>
              <w:t>0</w:t>
            </w:r>
            <w:r w:rsidR="00FB0D23">
              <w:rPr>
                <w:rFonts w:cs="Calibri"/>
              </w:rPr>
              <w:t xml:space="preserve"> hours</w:t>
            </w:r>
          </w:p>
        </w:tc>
        <w:tc>
          <w:tcPr>
            <w:tcW w:w="3133" w:type="dxa"/>
            <w:tcMar>
              <w:left w:w="103" w:type="dxa"/>
            </w:tcMar>
          </w:tcPr>
          <w:p w14:paraId="017BF6F1" w14:textId="77777777" w:rsidR="00AA3BAD" w:rsidRDefault="00FB0D23" w:rsidP="00A56D77">
            <w:pPr>
              <w:spacing w:after="0" w:line="240" w:lineRule="auto"/>
              <w:rPr>
                <w:rFonts w:ascii="Calibri" w:hAnsi="Calibri" w:cs="Calibri"/>
              </w:rPr>
            </w:pPr>
            <w:r>
              <w:rPr>
                <w:rFonts w:cs="Calibri"/>
              </w:rPr>
              <w:t>0 hours</w:t>
            </w:r>
          </w:p>
        </w:tc>
      </w:tr>
      <w:tr w:rsidR="00AA3BAD" w14:paraId="53B534C1" w14:textId="77777777">
        <w:tc>
          <w:tcPr>
            <w:tcW w:w="3132" w:type="dxa"/>
            <w:tcMar>
              <w:left w:w="103" w:type="dxa"/>
            </w:tcMar>
          </w:tcPr>
          <w:p w14:paraId="714C6D89" w14:textId="77777777" w:rsidR="00AA3BAD" w:rsidRDefault="00FB0D23" w:rsidP="00A56D77">
            <w:pPr>
              <w:spacing w:after="0" w:line="240" w:lineRule="auto"/>
              <w:rPr>
                <w:rFonts w:ascii="Calibri" w:hAnsi="Calibri" w:cs="Calibri"/>
              </w:rPr>
            </w:pPr>
            <w:r>
              <w:rPr>
                <w:rFonts w:cs="Calibri"/>
              </w:rPr>
              <w:t>Seminars:</w:t>
            </w:r>
          </w:p>
        </w:tc>
        <w:tc>
          <w:tcPr>
            <w:tcW w:w="3132" w:type="dxa"/>
            <w:tcMar>
              <w:left w:w="103" w:type="dxa"/>
            </w:tcMar>
          </w:tcPr>
          <w:p w14:paraId="1C1319D2" w14:textId="77777777" w:rsidR="00AA3BAD" w:rsidRDefault="00A56D77" w:rsidP="00A56D77">
            <w:pPr>
              <w:spacing w:after="0" w:line="240" w:lineRule="auto"/>
              <w:rPr>
                <w:rFonts w:ascii="Calibri" w:hAnsi="Calibri" w:cs="Calibri"/>
              </w:rPr>
            </w:pPr>
            <w:r>
              <w:rPr>
                <w:rFonts w:cs="Calibri"/>
              </w:rPr>
              <w:t>1</w:t>
            </w:r>
            <w:r w:rsidR="00FB0D23">
              <w:rPr>
                <w:rFonts w:cs="Calibri"/>
              </w:rPr>
              <w:t xml:space="preserve"> hours</w:t>
            </w:r>
          </w:p>
        </w:tc>
        <w:tc>
          <w:tcPr>
            <w:tcW w:w="3133" w:type="dxa"/>
            <w:tcMar>
              <w:left w:w="103" w:type="dxa"/>
            </w:tcMar>
          </w:tcPr>
          <w:p w14:paraId="23D23E85" w14:textId="77777777" w:rsidR="00AA3BAD" w:rsidRDefault="00A56D77" w:rsidP="00A56D77">
            <w:pPr>
              <w:spacing w:after="0" w:line="240" w:lineRule="auto"/>
              <w:rPr>
                <w:rFonts w:ascii="Calibri" w:hAnsi="Calibri" w:cs="Calibri"/>
              </w:rPr>
            </w:pPr>
            <w:r>
              <w:rPr>
                <w:rFonts w:cs="Calibri"/>
              </w:rPr>
              <w:t>15</w:t>
            </w:r>
            <w:r w:rsidR="00FB0D23">
              <w:rPr>
                <w:rFonts w:cs="Calibri"/>
              </w:rPr>
              <w:t xml:space="preserve"> hours</w:t>
            </w:r>
          </w:p>
        </w:tc>
      </w:tr>
      <w:tr w:rsidR="00AA3BAD" w14:paraId="7A7C3958" w14:textId="77777777">
        <w:tc>
          <w:tcPr>
            <w:tcW w:w="9397" w:type="dxa"/>
            <w:gridSpan w:val="3"/>
            <w:tcMar>
              <w:left w:w="103" w:type="dxa"/>
            </w:tcMar>
          </w:tcPr>
          <w:p w14:paraId="69B5B20B" w14:textId="77777777" w:rsidR="00AA3BAD" w:rsidRDefault="00A56D77" w:rsidP="00A56D77">
            <w:pPr>
              <w:spacing w:after="0" w:line="240" w:lineRule="auto"/>
            </w:pPr>
            <w:r>
              <w:rPr>
                <w:rFonts w:cs="Calibri"/>
              </w:rPr>
              <w:t>ECTS: 4</w:t>
            </w:r>
            <w:r w:rsidR="00FB0D23">
              <w:rPr>
                <w:rFonts w:cs="Calibri"/>
              </w:rPr>
              <w:t xml:space="preserve"> ECTS</w:t>
            </w:r>
          </w:p>
        </w:tc>
      </w:tr>
      <w:tr w:rsidR="00AA3BAD" w14:paraId="3BCE0357" w14:textId="77777777">
        <w:tc>
          <w:tcPr>
            <w:tcW w:w="9397" w:type="dxa"/>
            <w:gridSpan w:val="3"/>
            <w:tcMar>
              <w:left w:w="103" w:type="dxa"/>
            </w:tcMar>
          </w:tcPr>
          <w:p w14:paraId="0AB0CDA6" w14:textId="77777777" w:rsidR="00AA3BAD" w:rsidRDefault="00FB0D23" w:rsidP="00A56D77">
            <w:pPr>
              <w:spacing w:after="0" w:line="240" w:lineRule="auto"/>
            </w:pPr>
            <w:r>
              <w:rPr>
                <w:rFonts w:cs="Calibri"/>
              </w:rPr>
              <w:t>Teaching language and level</w:t>
            </w:r>
            <w:r>
              <w:rPr>
                <w:rStyle w:val="FootnoteAnchor"/>
                <w:rFonts w:cs="Calibri"/>
              </w:rPr>
              <w:footnoteReference w:id="5"/>
            </w:r>
            <w:r>
              <w:rPr>
                <w:rFonts w:cs="Calibri"/>
              </w:rPr>
              <w:t xml:space="preserve">  for guest (exchange) students: </w:t>
            </w:r>
            <w:r w:rsidR="00A56D77" w:rsidRPr="00532DB7">
              <w:rPr>
                <w:rFonts w:cs="Calibri"/>
              </w:rPr>
              <w:t xml:space="preserve"> Croatian B2, Polish B2</w:t>
            </w:r>
          </w:p>
        </w:tc>
      </w:tr>
      <w:tr w:rsidR="00AA3BAD" w14:paraId="149C1FAF" w14:textId="77777777">
        <w:tc>
          <w:tcPr>
            <w:tcW w:w="9397" w:type="dxa"/>
            <w:gridSpan w:val="3"/>
            <w:tcMar>
              <w:left w:w="103" w:type="dxa"/>
            </w:tcMar>
          </w:tcPr>
          <w:p w14:paraId="6962F69F" w14:textId="77777777" w:rsidR="00AA3BAD" w:rsidRDefault="00FB0D23" w:rsidP="00A56D77">
            <w:pPr>
              <w:spacing w:after="0" w:line="240" w:lineRule="auto"/>
            </w:pPr>
            <w:r>
              <w:rPr>
                <w:rFonts w:cs="Calibri"/>
              </w:rPr>
              <w:t>Teaching Methods</w:t>
            </w:r>
            <w:r>
              <w:rPr>
                <w:rStyle w:val="FootnoteAnchor"/>
                <w:rFonts w:cs="Calibri"/>
              </w:rPr>
              <w:footnoteReference w:id="6"/>
            </w:r>
            <w:r>
              <w:rPr>
                <w:rFonts w:cs="Calibri"/>
              </w:rPr>
              <w:t xml:space="preserve"> for guest (exchange) students: L1</w:t>
            </w:r>
          </w:p>
        </w:tc>
      </w:tr>
      <w:tr w:rsidR="00AA3BAD" w14:paraId="5487357C" w14:textId="77777777">
        <w:tc>
          <w:tcPr>
            <w:tcW w:w="9397" w:type="dxa"/>
            <w:gridSpan w:val="3"/>
            <w:tcMar>
              <w:left w:w="103" w:type="dxa"/>
            </w:tcMar>
          </w:tcPr>
          <w:p w14:paraId="447841F5" w14:textId="77777777" w:rsidR="00AA3BAD" w:rsidRDefault="00FB0D23" w:rsidP="00A56D77">
            <w:pPr>
              <w:spacing w:after="0" w:line="240" w:lineRule="auto"/>
            </w:pPr>
            <w:r>
              <w:rPr>
                <w:rFonts w:cs="Calibri"/>
              </w:rPr>
              <w:t>Evaluation Methods</w:t>
            </w:r>
            <w:r>
              <w:rPr>
                <w:rStyle w:val="FootnoteAnchor"/>
                <w:rFonts w:cs="Calibri"/>
              </w:rPr>
              <w:footnoteReference w:id="7"/>
            </w:r>
            <w:r>
              <w:rPr>
                <w:rFonts w:cs="Calibri"/>
              </w:rPr>
              <w:t xml:space="preserve"> and Grading</w:t>
            </w:r>
            <w:r>
              <w:rPr>
                <w:rStyle w:val="FootnoteAnchor"/>
                <w:rFonts w:cs="Calibri"/>
              </w:rPr>
              <w:footnoteReference w:id="8"/>
            </w:r>
            <w:r>
              <w:rPr>
                <w:rFonts w:cs="Calibri"/>
              </w:rPr>
              <w:t xml:space="preserve">: </w:t>
            </w:r>
            <w:r w:rsidR="00A56D77" w:rsidRPr="00532DB7">
              <w:rPr>
                <w:rFonts w:cs="Calibri"/>
              </w:rPr>
              <w:t xml:space="preserve"> Class attendance, Seminar paper, Oral Exam; Standard</w:t>
            </w:r>
          </w:p>
        </w:tc>
      </w:tr>
      <w:tr w:rsidR="00AA3BAD" w14:paraId="5D063450" w14:textId="77777777">
        <w:tc>
          <w:tcPr>
            <w:tcW w:w="9397" w:type="dxa"/>
            <w:gridSpan w:val="3"/>
            <w:tcMar>
              <w:left w:w="103" w:type="dxa"/>
            </w:tcMar>
          </w:tcPr>
          <w:p w14:paraId="621BBBF3" w14:textId="00CFBF34" w:rsidR="00AA3BAD" w:rsidRPr="004176DF" w:rsidRDefault="00FB0D23" w:rsidP="004176DF">
            <w:pPr>
              <w:spacing w:line="240" w:lineRule="auto"/>
              <w:rPr>
                <w:rFonts w:cs="Calibri"/>
              </w:rPr>
            </w:pPr>
            <w:r>
              <w:rPr>
                <w:rFonts w:cs="Calibri"/>
              </w:rPr>
              <w:t>Learning Outcomes:</w:t>
            </w:r>
            <w:r w:rsidR="00A56D77" w:rsidRPr="00532DB7">
              <w:rPr>
                <w:rStyle w:val="EndnoteCharacters"/>
              </w:rPr>
              <w:t xml:space="preserve"> </w:t>
            </w:r>
            <w:r w:rsidR="00A56D77" w:rsidRPr="00532DB7">
              <w:rPr>
                <w:rStyle w:val="tlid-translation"/>
              </w:rPr>
              <w:t>to describe the meaning of Adam Mickiewicz in the constitution of the romantic code of the Polish culture</w:t>
            </w:r>
            <w:r w:rsidR="00A56D77" w:rsidRPr="00532DB7">
              <w:t xml:space="preserve">; </w:t>
            </w:r>
            <w:r w:rsidR="00A56D77" w:rsidRPr="00532DB7">
              <w:rPr>
                <w:rStyle w:val="tlid-translation"/>
              </w:rPr>
              <w:t>to analyze and interpret individual phases of the creative biography of Adam Mickiewicz with regard to the change of the socio-historical context and the immanent worldview and poetic "directives"</w:t>
            </w:r>
            <w:r w:rsidR="00A56D77" w:rsidRPr="00532DB7">
              <w:t xml:space="preserve">; </w:t>
            </w:r>
            <w:r w:rsidR="00A56D77" w:rsidRPr="00532DB7">
              <w:rPr>
                <w:rStyle w:val="tlid-translation"/>
              </w:rPr>
              <w:t>recognize and critically judge the role of Adam Mickiewicz in the constitution of European romanticism</w:t>
            </w:r>
          </w:p>
        </w:tc>
      </w:tr>
      <w:tr w:rsidR="00AA3BAD" w:rsidRPr="00A766B3" w14:paraId="113873AF" w14:textId="77777777">
        <w:tc>
          <w:tcPr>
            <w:tcW w:w="9397" w:type="dxa"/>
            <w:gridSpan w:val="3"/>
            <w:tcMar>
              <w:left w:w="103" w:type="dxa"/>
            </w:tcMar>
          </w:tcPr>
          <w:p w14:paraId="5211D580" w14:textId="77777777" w:rsidR="00AA3BAD" w:rsidRPr="004176DF" w:rsidRDefault="00FB0D23" w:rsidP="004176DF">
            <w:pPr>
              <w:spacing w:after="0" w:line="240" w:lineRule="auto"/>
              <w:rPr>
                <w:lang w:val="pl-PL"/>
              </w:rPr>
            </w:pPr>
            <w:r w:rsidRPr="0041227D">
              <w:rPr>
                <w:rFonts w:cs="Calibri"/>
                <w:lang w:val="pl-PL"/>
              </w:rPr>
              <w:t>Literature:</w:t>
            </w:r>
            <w:r w:rsidR="004176DF">
              <w:rPr>
                <w:lang w:val="pl-PL"/>
              </w:rPr>
              <w:t xml:space="preserve"> </w:t>
            </w:r>
            <w:r w:rsidR="00A56D77">
              <w:rPr>
                <w:rFonts w:cs="Calibri"/>
                <w:lang w:val="pl-PL"/>
              </w:rPr>
              <w:t xml:space="preserve">Adam Mickiewicz, </w:t>
            </w:r>
            <w:r w:rsidR="00A56D77" w:rsidRPr="00532DB7">
              <w:rPr>
                <w:lang w:val="pl-PL"/>
              </w:rPr>
              <w:t xml:space="preserve"> Ballady i romanse; Dziady; Grażyna; Konrad Wallenrod; Sonety krymskie i sonety odeskie; Księgi narodu polskiego i pielgrzymstwa polskiego; Pan Tadeusz</w:t>
            </w:r>
            <w:r w:rsidR="004176DF">
              <w:rPr>
                <w:rFonts w:cs="Calibri"/>
                <w:lang w:val="pl-PL"/>
              </w:rPr>
              <w:t xml:space="preserve">; </w:t>
            </w:r>
            <w:r w:rsidR="00A56D77" w:rsidRPr="00FB28DD">
              <w:rPr>
                <w:rFonts w:eastAsia="Times New Roman" w:cs="Times New Roman"/>
                <w:lang w:val="hr-HR" w:eastAsia="hr-HR"/>
              </w:rPr>
              <w:t>M. Jastrun, Mickiewicz, Zagreb, 1950.</w:t>
            </w:r>
            <w:r w:rsidR="00A56D77" w:rsidRPr="00532DB7">
              <w:rPr>
                <w:rFonts w:eastAsia="Times New Roman" w:cs="Times New Roman"/>
                <w:lang w:val="hr-HR" w:eastAsia="hr-HR"/>
              </w:rPr>
              <w:t xml:space="preserve">; </w:t>
            </w:r>
            <w:r w:rsidR="00A56D77" w:rsidRPr="00FB28DD">
              <w:rPr>
                <w:rFonts w:eastAsia="Times New Roman" w:cs="Times New Roman"/>
                <w:lang w:val="hr-HR" w:eastAsia="hr-HR"/>
              </w:rPr>
              <w:t>Z. Malić, Mickiewicz itd., Zagreb, 2002.</w:t>
            </w:r>
            <w:r w:rsidR="00A56D77" w:rsidRPr="00532DB7">
              <w:rPr>
                <w:rFonts w:eastAsia="Times New Roman" w:cs="Times New Roman"/>
                <w:lang w:val="hr-HR" w:eastAsia="hr-HR"/>
              </w:rPr>
              <w:t xml:space="preserve">; </w:t>
            </w:r>
            <w:r w:rsidR="00A56D77" w:rsidRPr="00FB28DD">
              <w:rPr>
                <w:rFonts w:eastAsia="Times New Roman" w:cs="Times New Roman"/>
                <w:lang w:val="hr-HR" w:eastAsia="hr-HR"/>
              </w:rPr>
              <w:t>A. Witkowska, Słowo i czyn, Warszawa, 1986.</w:t>
            </w:r>
            <w:r w:rsidR="00A56D77" w:rsidRPr="00532DB7">
              <w:rPr>
                <w:rFonts w:eastAsia="Times New Roman" w:cs="Times New Roman"/>
                <w:lang w:val="hr-HR" w:eastAsia="hr-HR"/>
              </w:rPr>
              <w:t xml:space="preserve">; </w:t>
            </w:r>
            <w:r w:rsidR="00A56D77" w:rsidRPr="00FB28DD">
              <w:rPr>
                <w:rFonts w:eastAsia="Times New Roman" w:cs="Times New Roman"/>
                <w:lang w:val="hr-HR" w:eastAsia="hr-HR"/>
              </w:rPr>
              <w:t>D. Blažina, U auri Dušnog dana, Zagreb, 2005.</w:t>
            </w:r>
          </w:p>
        </w:tc>
      </w:tr>
    </w:tbl>
    <w:p w14:paraId="3DBAAE6E" w14:textId="77777777" w:rsidR="00AA3BAD" w:rsidRPr="00A766B3" w:rsidRDefault="00AA3BAD" w:rsidP="00A56D77">
      <w:pPr>
        <w:spacing w:line="240" w:lineRule="auto"/>
        <w:rPr>
          <w:lang w:val="pl-PL"/>
        </w:rPr>
      </w:pPr>
    </w:p>
    <w:sectPr w:rsidR="00AA3BAD" w:rsidRPr="00A766B3">
      <w:pgSz w:w="12240" w:h="15840"/>
      <w:pgMar w:top="709" w:right="1417" w:bottom="142"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4D41" w14:textId="77777777" w:rsidR="00747F71" w:rsidRDefault="00747F71">
      <w:pPr>
        <w:spacing w:after="0" w:line="240" w:lineRule="auto"/>
      </w:pPr>
      <w:r>
        <w:separator/>
      </w:r>
    </w:p>
  </w:endnote>
  <w:endnote w:type="continuationSeparator" w:id="0">
    <w:p w14:paraId="5B61CD92" w14:textId="77777777" w:rsidR="00747F71" w:rsidRDefault="0074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129E" w14:textId="77777777" w:rsidR="00747F71" w:rsidRDefault="00747F71">
      <w:r>
        <w:separator/>
      </w:r>
    </w:p>
  </w:footnote>
  <w:footnote w:type="continuationSeparator" w:id="0">
    <w:p w14:paraId="4AD4166B" w14:textId="77777777" w:rsidR="00747F71" w:rsidRDefault="00747F71">
      <w:r>
        <w:continuationSeparator/>
      </w:r>
    </w:p>
  </w:footnote>
  <w:footnote w:id="1">
    <w:p w14:paraId="543E1D6B" w14:textId="77777777" w:rsidR="00AA3BAD" w:rsidRPr="00CF41B1" w:rsidRDefault="00FB0D23" w:rsidP="00CF41B1">
      <w:pPr>
        <w:spacing w:after="0" w:line="240" w:lineRule="auto"/>
        <w:jc w:val="both"/>
        <w:rPr>
          <w:sz w:val="18"/>
          <w:szCs w:val="18"/>
        </w:rPr>
      </w:pPr>
      <w:r>
        <w:rPr>
          <w:rStyle w:val="FootnoteReference"/>
          <w:sz w:val="20"/>
          <w:szCs w:val="20"/>
        </w:rPr>
        <w:footnoteRef/>
      </w:r>
      <w:r>
        <w:rPr>
          <w:rStyle w:val="FootnoteReference"/>
          <w:sz w:val="20"/>
          <w:szCs w:val="20"/>
        </w:rPr>
        <w:tab/>
      </w:r>
      <w:r w:rsidRPr="00CF41B1">
        <w:rPr>
          <w:sz w:val="18"/>
          <w:szCs w:val="18"/>
        </w:rPr>
        <w:t xml:space="preserve"> BA, MA, PhD; 2</w:t>
      </w:r>
      <w:r w:rsidRPr="00CF41B1">
        <w:rPr>
          <w:sz w:val="18"/>
          <w:szCs w:val="18"/>
          <w:vertAlign w:val="superscript"/>
        </w:rPr>
        <w:t>nd</w:t>
      </w:r>
      <w:r w:rsidRPr="00CF41B1">
        <w:rPr>
          <w:sz w:val="18"/>
          <w:szCs w:val="18"/>
        </w:rPr>
        <w:t xml:space="preserve"> year …</w:t>
      </w:r>
    </w:p>
  </w:footnote>
  <w:footnote w:id="2">
    <w:p w14:paraId="6DFB7081" w14:textId="77777777" w:rsidR="00AA3BAD" w:rsidRPr="00CF41B1" w:rsidRDefault="00FB0D23" w:rsidP="00CF41B1">
      <w:pPr>
        <w:spacing w:after="0" w:line="240" w:lineRule="auto"/>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Winter, Summer, Academic Year</w:t>
      </w:r>
    </w:p>
  </w:footnote>
  <w:footnote w:id="3">
    <w:p w14:paraId="6217EE83" w14:textId="77777777" w:rsidR="00AA3BAD" w:rsidRPr="00CF41B1" w:rsidRDefault="00FB0D23" w:rsidP="00CF41B1">
      <w:pPr>
        <w:pStyle w:val="FootnoteText"/>
        <w:spacing w:after="0"/>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Teaching language according to the regular </w:t>
      </w:r>
      <w:proofErr w:type="spellStart"/>
      <w:r w:rsidRPr="00CF41B1">
        <w:rPr>
          <w:sz w:val="18"/>
          <w:szCs w:val="18"/>
        </w:rPr>
        <w:t>programme</w:t>
      </w:r>
      <w:proofErr w:type="spellEnd"/>
      <w:r w:rsidRPr="00CF41B1">
        <w:rPr>
          <w:sz w:val="18"/>
          <w:szCs w:val="18"/>
        </w:rPr>
        <w:t xml:space="preserve"> (e.g. Croatian, French, Slovenian…)</w:t>
      </w:r>
    </w:p>
  </w:footnote>
  <w:footnote w:id="4">
    <w:p w14:paraId="4B25F5ED" w14:textId="77777777" w:rsidR="00AA3BAD" w:rsidRPr="00CF41B1" w:rsidRDefault="00FB0D23" w:rsidP="00CF41B1">
      <w:pPr>
        <w:pStyle w:val="FootnoteText"/>
        <w:spacing w:after="0"/>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Direct instructions: teaching through lectures/seminars/exercises and teacher-led demonstrations in the classroom; Presentations; Classroom discussion; E-Learning (Omega, etc.); Fieldwork; Other (specify)</w:t>
      </w:r>
    </w:p>
  </w:footnote>
  <w:footnote w:id="5">
    <w:p w14:paraId="0A5852E0" w14:textId="77777777" w:rsidR="00AA3BAD" w:rsidRPr="00CF41B1" w:rsidRDefault="00FB0D23" w:rsidP="00CF41B1">
      <w:pPr>
        <w:pStyle w:val="FootnoteText"/>
        <w:spacing w:after="0"/>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w:t>
      </w:r>
      <w:r w:rsidRPr="00CF41B1">
        <w:rPr>
          <w:sz w:val="18"/>
          <w:szCs w:val="18"/>
          <w:lang w:val="hr-HR"/>
        </w:rPr>
        <w:t>According to CEFR (e.g. English B2, German C1…)</w:t>
      </w:r>
    </w:p>
  </w:footnote>
  <w:footnote w:id="6">
    <w:p w14:paraId="797023AD" w14:textId="77777777" w:rsidR="00AA3BAD" w:rsidRPr="00CF41B1" w:rsidRDefault="00FB0D23" w:rsidP="00CF41B1">
      <w:pPr>
        <w:pStyle w:val="FootnoteText"/>
        <w:spacing w:after="0"/>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w:t>
      </w:r>
      <w:r w:rsidRPr="00CF41B1">
        <w:rPr>
          <w:b/>
          <w:sz w:val="18"/>
          <w:szCs w:val="18"/>
        </w:rPr>
        <w:t>Language options for guest (exchange) students):</w:t>
      </w:r>
    </w:p>
    <w:p w14:paraId="5E15AEEA" w14:textId="77777777" w:rsidR="00AA3BAD" w:rsidRPr="00CF41B1" w:rsidRDefault="00FB0D23" w:rsidP="00CF41B1">
      <w:pPr>
        <w:pStyle w:val="FootnoteText"/>
        <w:spacing w:after="0"/>
        <w:jc w:val="both"/>
        <w:rPr>
          <w:sz w:val="18"/>
          <w:szCs w:val="18"/>
        </w:rPr>
      </w:pPr>
      <w:r w:rsidRPr="00CF41B1">
        <w:rPr>
          <w:sz w:val="18"/>
          <w:szCs w:val="18"/>
        </w:rPr>
        <w:tab/>
        <w:t>L1 - All teaching activities will be held in regular teaching language. However, guest (exchange) students will have the opportunity to attend additional consultations with the lecturer and teaching assistants in foreign language (indicated as teaching language for guest (exchange) students), to help master the course materials. Additionally, the lecturer will refer guest (exchange) students to the corresponding literature in foreign language, as well as give them the possibility of taking the associated exams in foreign language.</w:t>
      </w:r>
    </w:p>
    <w:p w14:paraId="00E425A5" w14:textId="77777777" w:rsidR="00AA3BAD" w:rsidRPr="00CF41B1" w:rsidRDefault="00FB0D23" w:rsidP="00CF41B1">
      <w:pPr>
        <w:pStyle w:val="FootnoteText"/>
        <w:spacing w:after="0"/>
        <w:jc w:val="both"/>
        <w:rPr>
          <w:sz w:val="18"/>
          <w:szCs w:val="18"/>
        </w:rPr>
      </w:pPr>
      <w:r w:rsidRPr="00CF41B1">
        <w:rPr>
          <w:sz w:val="18"/>
          <w:szCs w:val="18"/>
        </w:rPr>
        <w:tab/>
        <w:t>L2 - All teaching activities will be held in regular teaching language only.</w:t>
      </w:r>
    </w:p>
  </w:footnote>
  <w:footnote w:id="7">
    <w:p w14:paraId="4B84EE3A" w14:textId="77777777" w:rsidR="00AA3BAD" w:rsidRPr="00CF41B1" w:rsidRDefault="00FB0D23" w:rsidP="00CF41B1">
      <w:pPr>
        <w:spacing w:after="0" w:line="240" w:lineRule="auto"/>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Class attendance, Essay, Preliminary exam, Seminar paper, Practical work, Written exam, Oral Exam, Other (specify)</w:t>
      </w:r>
    </w:p>
  </w:footnote>
  <w:footnote w:id="8">
    <w:p w14:paraId="45B40542" w14:textId="77777777" w:rsidR="00AA3BAD" w:rsidRPr="00CF41B1" w:rsidRDefault="00FB0D23" w:rsidP="00CF41B1">
      <w:pPr>
        <w:spacing w:after="0" w:line="240" w:lineRule="auto"/>
        <w:jc w:val="both"/>
        <w:rPr>
          <w:sz w:val="18"/>
          <w:szCs w:val="18"/>
        </w:rPr>
      </w:pPr>
      <w:r w:rsidRPr="00CF41B1">
        <w:rPr>
          <w:rStyle w:val="FootnoteReference"/>
          <w:sz w:val="18"/>
          <w:szCs w:val="18"/>
        </w:rPr>
        <w:footnoteRef/>
      </w:r>
      <w:r w:rsidRPr="00CF41B1">
        <w:rPr>
          <w:rStyle w:val="FootnoteReference"/>
          <w:sz w:val="18"/>
          <w:szCs w:val="18"/>
        </w:rPr>
        <w:tab/>
      </w:r>
      <w:r w:rsidRPr="00CF41B1">
        <w:rPr>
          <w:sz w:val="18"/>
          <w:szCs w:val="18"/>
        </w:rPr>
        <w:t xml:space="preserve"> Standard - the institutional grading system (5 Excellent; 4 Very good; 3 Good; 2 Sufficient; 1 Fail)</w:t>
      </w:r>
    </w:p>
    <w:p w14:paraId="263A8048" w14:textId="77777777" w:rsidR="00AA3BAD" w:rsidRPr="00CF41B1" w:rsidRDefault="00FB0D23" w:rsidP="00CF41B1">
      <w:pPr>
        <w:spacing w:after="0" w:line="240" w:lineRule="auto"/>
        <w:jc w:val="both"/>
        <w:rPr>
          <w:sz w:val="18"/>
          <w:szCs w:val="18"/>
        </w:rPr>
      </w:pPr>
      <w:r w:rsidRPr="00CF41B1">
        <w:rPr>
          <w:sz w:val="18"/>
          <w:szCs w:val="18"/>
        </w:rPr>
        <w:tab/>
        <w:t xml:space="preserve">Additional: </w:t>
      </w:r>
    </w:p>
    <w:p w14:paraId="2D5812B0" w14:textId="77777777" w:rsidR="00AA3BAD" w:rsidRPr="00CF41B1" w:rsidRDefault="00FB0D23" w:rsidP="00CF41B1">
      <w:pPr>
        <w:spacing w:after="0" w:line="240" w:lineRule="auto"/>
        <w:jc w:val="both"/>
        <w:rPr>
          <w:sz w:val="18"/>
          <w:szCs w:val="18"/>
        </w:rPr>
      </w:pPr>
      <w:r w:rsidRPr="00CF41B1">
        <w:rPr>
          <w:sz w:val="18"/>
          <w:szCs w:val="18"/>
        </w:rPr>
        <w:tab/>
        <w:t>RA - Regular Attendance (No ECTS credits awarded for course attendance only)</w:t>
      </w:r>
    </w:p>
    <w:p w14:paraId="26D1BD2F" w14:textId="77777777" w:rsidR="00AA3BAD" w:rsidRPr="00CF41B1" w:rsidRDefault="00FB0D23" w:rsidP="00CF41B1">
      <w:pPr>
        <w:spacing w:after="0" w:line="240" w:lineRule="auto"/>
        <w:jc w:val="both"/>
        <w:rPr>
          <w:sz w:val="18"/>
          <w:szCs w:val="18"/>
        </w:rPr>
      </w:pPr>
      <w:r w:rsidRPr="00CF41B1">
        <w:rPr>
          <w:sz w:val="18"/>
          <w:szCs w:val="18"/>
        </w:rPr>
        <w:tab/>
        <w:t>C - Completed (Student has completed proscribed obligations/no ECTS credits awarded)</w:t>
      </w:r>
    </w:p>
    <w:p w14:paraId="57538658" w14:textId="77777777" w:rsidR="00AA3BAD" w:rsidRPr="00CF41B1" w:rsidRDefault="00FB0D23" w:rsidP="00CF41B1">
      <w:pPr>
        <w:spacing w:after="0" w:line="240" w:lineRule="auto"/>
        <w:jc w:val="both"/>
        <w:rPr>
          <w:sz w:val="18"/>
          <w:szCs w:val="18"/>
        </w:rPr>
      </w:pPr>
      <w:r w:rsidRPr="00CF41B1">
        <w:rPr>
          <w:sz w:val="18"/>
          <w:szCs w:val="18"/>
        </w:rPr>
        <w:tab/>
        <w:t>C+ – Completed + ECTS (Student has completed proscribed obligations + ECTS credits awarded)</w:t>
      </w:r>
    </w:p>
    <w:p w14:paraId="3A55C8BE" w14:textId="77777777" w:rsidR="00AA3BAD" w:rsidRDefault="00AA3B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AD"/>
    <w:rsid w:val="0041227D"/>
    <w:rsid w:val="00413027"/>
    <w:rsid w:val="004176DF"/>
    <w:rsid w:val="00747F71"/>
    <w:rsid w:val="00A56D77"/>
    <w:rsid w:val="00A766B3"/>
    <w:rsid w:val="00AA3BAD"/>
    <w:rsid w:val="00BF2DE6"/>
    <w:rsid w:val="00CF41B1"/>
    <w:rsid w:val="00FB0D23"/>
    <w:rsid w:val="00FF7A3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5879"/>
  <w15:docId w15:val="{E27DB45A-3F33-470D-8271-60389A4E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714366"/>
    <w:rPr>
      <w:sz w:val="20"/>
      <w:szCs w:val="20"/>
    </w:rPr>
  </w:style>
  <w:style w:type="character" w:styleId="FootnoteReference">
    <w:name w:val="footnote reference"/>
    <w:basedOn w:val="DefaultParagraphFont"/>
    <w:uiPriority w:val="99"/>
    <w:semiHidden/>
    <w:unhideWhenUsed/>
    <w:qFormat/>
    <w:rsid w:val="00714366"/>
    <w:rPr>
      <w:vertAlign w:val="superscript"/>
    </w:rPr>
  </w:style>
  <w:style w:type="character" w:customStyle="1" w:styleId="BalloonTextChar">
    <w:name w:val="Balloon Text Char"/>
    <w:basedOn w:val="DefaultParagraphFont"/>
    <w:link w:val="BalloonText"/>
    <w:uiPriority w:val="99"/>
    <w:semiHidden/>
    <w:qFormat/>
    <w:rsid w:val="00966E70"/>
    <w:rPr>
      <w:rFonts w:ascii="Segoe UI" w:hAnsi="Segoe UI" w:cs="Segoe UI"/>
      <w:sz w:val="18"/>
      <w:szCs w:val="18"/>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Times New Roman" w:eastAsia="Arial Unicode MS" w:hAnsi="Times New Roman"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ascii="Times New Roman" w:hAnsi="Times New Roman"/>
      <w:i/>
      <w:iCs/>
      <w:sz w:val="24"/>
      <w:szCs w:val="24"/>
    </w:rPr>
  </w:style>
  <w:style w:type="paragraph" w:customStyle="1" w:styleId="Index">
    <w:name w:val="Index"/>
    <w:basedOn w:val="Normal"/>
    <w:qFormat/>
    <w:pPr>
      <w:suppressLineNumbers/>
    </w:pPr>
    <w:rPr>
      <w:rFonts w:ascii="Times New Roman" w:hAnsi="Times New Roman"/>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966E70"/>
    <w:pPr>
      <w:spacing w:after="0" w:line="240" w:lineRule="auto"/>
    </w:pPr>
    <w:rPr>
      <w:rFonts w:ascii="Segoe UI" w:hAnsi="Segoe UI" w:cs="Segoe UI"/>
      <w:sz w:val="18"/>
      <w:szCs w:val="18"/>
    </w:rPr>
  </w:style>
  <w:style w:type="table" w:styleId="TableGrid">
    <w:name w:val="Table Grid"/>
    <w:basedOn w:val="TableNormal"/>
    <w:uiPriority w:val="39"/>
    <w:rsid w:val="0071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A5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EB39-8248-489E-9BB4-74758A00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Sandra Banas</cp:lastModifiedBy>
  <cp:revision>2</cp:revision>
  <cp:lastPrinted>2019-02-18T13:08:00Z</cp:lastPrinted>
  <dcterms:created xsi:type="dcterms:W3CDTF">2026-02-06T14:12:00Z</dcterms:created>
  <dcterms:modified xsi:type="dcterms:W3CDTF">2026-02-06T14:12:00Z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