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3D19E" w14:textId="77777777" w:rsidR="00551F51" w:rsidRPr="00551F51" w:rsidRDefault="00551F51" w:rsidP="00551F51">
      <w:pPr>
        <w:jc w:val="center"/>
        <w:rPr>
          <w:b/>
          <w:color w:val="0070C0"/>
          <w:sz w:val="36"/>
          <w:szCs w:val="36"/>
        </w:rPr>
      </w:pPr>
      <w:r>
        <w:rPr>
          <w:b/>
          <w:color w:val="0070C0"/>
          <w:sz w:val="36"/>
          <w:szCs w:val="36"/>
        </w:rPr>
        <w:t>COURSE CATALOGUE FOR GU</w:t>
      </w:r>
      <w:r w:rsidRPr="003E03D6">
        <w:rPr>
          <w:b/>
          <w:color w:val="0070C0"/>
          <w:sz w:val="36"/>
          <w:szCs w:val="36"/>
        </w:rPr>
        <w:t>EST (EXCHANGE) STUDENTS</w:t>
      </w:r>
    </w:p>
    <w:tbl>
      <w:tblPr>
        <w:tblStyle w:val="TableGrid"/>
        <w:tblpPr w:leftFromText="180" w:rightFromText="180" w:horzAnchor="margin" w:tblpY="885"/>
        <w:tblW w:w="9460" w:type="dxa"/>
        <w:tblLook w:val="04A0" w:firstRow="1" w:lastRow="0" w:firstColumn="1" w:lastColumn="0" w:noHBand="0" w:noVBand="1"/>
      </w:tblPr>
      <w:tblGrid>
        <w:gridCol w:w="3132"/>
        <w:gridCol w:w="3132"/>
        <w:gridCol w:w="3196"/>
      </w:tblGrid>
      <w:tr w:rsidR="00714366" w14:paraId="334DEFF6" w14:textId="77777777" w:rsidTr="00E177D4">
        <w:tc>
          <w:tcPr>
            <w:tcW w:w="9460" w:type="dxa"/>
            <w:gridSpan w:val="3"/>
          </w:tcPr>
          <w:p w14:paraId="69AD5B6F" w14:textId="77777777" w:rsidR="00714366" w:rsidRDefault="00714366" w:rsidP="00714366">
            <w:pPr>
              <w:rPr>
                <w:rFonts w:ascii="Calibri" w:hAnsi="Calibri" w:cs="Calibri"/>
              </w:rPr>
            </w:pPr>
            <w:r>
              <w:rPr>
                <w:rFonts w:ascii="Calibri" w:hAnsi="Calibri" w:cs="Calibri"/>
              </w:rPr>
              <w:t>STUDY PROGRAMME:</w:t>
            </w:r>
            <w:r w:rsidR="00120BC5">
              <w:rPr>
                <w:rFonts w:ascii="Calibri" w:hAnsi="Calibri" w:cs="Calibri"/>
              </w:rPr>
              <w:t xml:space="preserve"> </w:t>
            </w:r>
            <w:r w:rsidR="001325C1">
              <w:rPr>
                <w:rFonts w:ascii="Calibri" w:hAnsi="Calibri" w:cs="Calibri"/>
              </w:rPr>
              <w:t>Czech Language and L</w:t>
            </w:r>
            <w:r w:rsidR="00551F51">
              <w:rPr>
                <w:rFonts w:ascii="Calibri" w:hAnsi="Calibri" w:cs="Calibri"/>
              </w:rPr>
              <w:t>iterature</w:t>
            </w:r>
          </w:p>
          <w:p w14:paraId="3A99A4A4" w14:textId="77777777" w:rsidR="00EB59AF" w:rsidRPr="00714366" w:rsidRDefault="00EB59AF" w:rsidP="00714366">
            <w:pPr>
              <w:rPr>
                <w:rFonts w:ascii="Calibri" w:hAnsi="Calibri" w:cs="Calibri"/>
              </w:rPr>
            </w:pPr>
          </w:p>
        </w:tc>
      </w:tr>
      <w:tr w:rsidR="005D7B91" w14:paraId="7CDE485C" w14:textId="77777777" w:rsidTr="00E177D4">
        <w:tc>
          <w:tcPr>
            <w:tcW w:w="9460" w:type="dxa"/>
            <w:gridSpan w:val="3"/>
          </w:tcPr>
          <w:p w14:paraId="4FFB75AD" w14:textId="11CE3667" w:rsidR="005D7B91" w:rsidRPr="0007245F" w:rsidRDefault="005D7B91" w:rsidP="00465279">
            <w:pPr>
              <w:rPr>
                <w:rFonts w:ascii="Calibri" w:hAnsi="Calibri" w:cs="Calibri"/>
                <w:color w:val="FF0000"/>
              </w:rPr>
            </w:pPr>
            <w:r>
              <w:rPr>
                <w:rFonts w:ascii="Calibri" w:hAnsi="Calibri" w:cs="Calibri"/>
              </w:rPr>
              <w:t>Level</w:t>
            </w:r>
            <w:r w:rsidR="00EB59AF">
              <w:rPr>
                <w:rFonts w:ascii="Calibri" w:hAnsi="Calibri" w:cs="Calibri"/>
              </w:rPr>
              <w:t xml:space="preserve"> and Year</w:t>
            </w:r>
            <w:r w:rsidR="007254DF" w:rsidRPr="00551F51">
              <w:rPr>
                <w:rStyle w:val="FootnoteReference"/>
                <w:rFonts w:ascii="Calibri" w:hAnsi="Calibri" w:cs="Calibri"/>
              </w:rPr>
              <w:footnoteReference w:id="1"/>
            </w:r>
            <w:r w:rsidRPr="00551F51">
              <w:rPr>
                <w:rFonts w:ascii="Calibri" w:hAnsi="Calibri" w:cs="Calibri"/>
              </w:rPr>
              <w:t>:</w:t>
            </w:r>
            <w:r w:rsidR="0007245F" w:rsidRPr="00551F51">
              <w:rPr>
                <w:rFonts w:ascii="Calibri" w:hAnsi="Calibri" w:cs="Calibri"/>
              </w:rPr>
              <w:t xml:space="preserve">  </w:t>
            </w:r>
            <w:r w:rsidR="00551F51" w:rsidRPr="00551F51">
              <w:rPr>
                <w:rFonts w:ascii="Calibri" w:hAnsi="Calibri" w:cs="Calibri"/>
              </w:rPr>
              <w:t>MA</w:t>
            </w:r>
            <w:r w:rsidR="00551F51">
              <w:rPr>
                <w:rFonts w:ascii="Calibri" w:hAnsi="Calibri" w:cs="Calibri"/>
              </w:rPr>
              <w:t xml:space="preserve">, </w:t>
            </w:r>
            <w:r w:rsidR="004D6809">
              <w:rPr>
                <w:rFonts w:ascii="Calibri" w:hAnsi="Calibri" w:cs="Calibri"/>
              </w:rPr>
              <w:t>1</w:t>
            </w:r>
            <w:r w:rsidR="004D6809" w:rsidRPr="001556F2">
              <w:rPr>
                <w:rFonts w:ascii="Calibri" w:hAnsi="Calibri" w:cs="Calibri"/>
                <w:vertAlign w:val="superscript"/>
              </w:rPr>
              <w:t>st</w:t>
            </w:r>
            <w:r w:rsidR="004D6809">
              <w:rPr>
                <w:rFonts w:ascii="Calibri" w:hAnsi="Calibri" w:cs="Calibri"/>
              </w:rPr>
              <w:t xml:space="preserve"> and 2</w:t>
            </w:r>
            <w:r w:rsidR="004D6809" w:rsidRPr="001556F2">
              <w:rPr>
                <w:rFonts w:ascii="Calibri" w:hAnsi="Calibri" w:cs="Calibri"/>
                <w:vertAlign w:val="superscript"/>
              </w:rPr>
              <w:t>nd</w:t>
            </w:r>
            <w:r w:rsidR="004D6809">
              <w:rPr>
                <w:rFonts w:ascii="Calibri" w:hAnsi="Calibri" w:cs="Calibri"/>
              </w:rPr>
              <w:t xml:space="preserve"> year</w:t>
            </w:r>
          </w:p>
        </w:tc>
      </w:tr>
      <w:tr w:rsidR="00A01504" w14:paraId="6247D3CE" w14:textId="77777777" w:rsidTr="00E177D4">
        <w:tc>
          <w:tcPr>
            <w:tcW w:w="9460" w:type="dxa"/>
            <w:gridSpan w:val="3"/>
          </w:tcPr>
          <w:p w14:paraId="768ADB71" w14:textId="77777777" w:rsidR="00A01504" w:rsidRPr="00551F51" w:rsidRDefault="00A01504" w:rsidP="00714366">
            <w:pPr>
              <w:rPr>
                <w:rFonts w:ascii="Calibri" w:hAnsi="Calibri" w:cs="Calibri"/>
              </w:rPr>
            </w:pPr>
            <w:r w:rsidRPr="00551F51">
              <w:rPr>
                <w:rFonts w:ascii="Calibri" w:hAnsi="Calibri" w:cs="Calibri"/>
              </w:rPr>
              <w:t>Course Title:</w:t>
            </w:r>
            <w:r w:rsidR="00D00AF0">
              <w:rPr>
                <w:rFonts w:ascii="Calibri" w:hAnsi="Calibri" w:cs="Calibri"/>
              </w:rPr>
              <w:t xml:space="preserve"> Modern Czech S</w:t>
            </w:r>
            <w:r w:rsidR="00551F51" w:rsidRPr="00551F51">
              <w:rPr>
                <w:rFonts w:ascii="Calibri" w:hAnsi="Calibri" w:cs="Calibri"/>
              </w:rPr>
              <w:t>ociety</w:t>
            </w:r>
          </w:p>
          <w:p w14:paraId="48117F27" w14:textId="77777777" w:rsidR="00A01504" w:rsidRPr="00551F51" w:rsidRDefault="00A01504" w:rsidP="00714366">
            <w:pPr>
              <w:rPr>
                <w:rFonts w:ascii="Calibri" w:hAnsi="Calibri" w:cs="Calibri"/>
                <w:color w:val="FF0000"/>
              </w:rPr>
            </w:pPr>
          </w:p>
        </w:tc>
      </w:tr>
      <w:tr w:rsidR="005D7B91" w14:paraId="53DEF178" w14:textId="77777777" w:rsidTr="00E177D4">
        <w:tc>
          <w:tcPr>
            <w:tcW w:w="9460" w:type="dxa"/>
            <w:gridSpan w:val="3"/>
          </w:tcPr>
          <w:p w14:paraId="78958177" w14:textId="77777777" w:rsidR="005D7B91" w:rsidRPr="00E177D4" w:rsidRDefault="005D7B91" w:rsidP="00714366">
            <w:pPr>
              <w:rPr>
                <w:rFonts w:ascii="Calibri" w:hAnsi="Calibri" w:cs="Calibri"/>
              </w:rPr>
            </w:pPr>
            <w:r w:rsidRPr="00E177D4">
              <w:rPr>
                <w:rFonts w:ascii="Calibri" w:hAnsi="Calibri" w:cs="Calibri"/>
              </w:rPr>
              <w:t>Course Description:</w:t>
            </w:r>
            <w:r w:rsidR="00551F51" w:rsidRPr="00E177D4">
              <w:rPr>
                <w:rFonts w:ascii="Calibri" w:hAnsi="Calibri" w:cs="Calibri"/>
              </w:rPr>
              <w:t xml:space="preserve"> </w:t>
            </w:r>
          </w:p>
          <w:p w14:paraId="1A94A732" w14:textId="77777777" w:rsidR="00EB59AF" w:rsidRPr="00E177D4" w:rsidRDefault="005267AB" w:rsidP="001325C1">
            <w:pPr>
              <w:rPr>
                <w:rFonts w:ascii="Calibri" w:hAnsi="Calibri" w:cs="Calibri"/>
              </w:rPr>
            </w:pPr>
            <w:r w:rsidRPr="00E13AFC">
              <w:rPr>
                <w:rFonts w:ascii="Calibri" w:hAnsi="Calibri" w:cs="Calibri"/>
              </w:rPr>
              <w:t>Students will</w:t>
            </w:r>
            <w:r w:rsidRPr="00E13AFC">
              <w:t xml:space="preserve"> </w:t>
            </w:r>
            <w:r w:rsidRPr="00E13AFC">
              <w:rPr>
                <w:rFonts w:ascii="Calibri" w:hAnsi="Calibri" w:cs="Calibri"/>
              </w:rPr>
              <w:t xml:space="preserve">get acquainted with different tendencies in all important </w:t>
            </w:r>
            <w:r w:rsidR="001325C1">
              <w:rPr>
                <w:rFonts w:ascii="Calibri" w:hAnsi="Calibri" w:cs="Calibri"/>
              </w:rPr>
              <w:t>aspects</w:t>
            </w:r>
            <w:r w:rsidRPr="00E13AFC">
              <w:rPr>
                <w:rFonts w:ascii="Calibri" w:hAnsi="Calibri" w:cs="Calibri"/>
              </w:rPr>
              <w:t xml:space="preserve"> of </w:t>
            </w:r>
            <w:r w:rsidR="00E177D4">
              <w:rPr>
                <w:rFonts w:ascii="Calibri" w:hAnsi="Calibri" w:cs="Calibri"/>
              </w:rPr>
              <w:t xml:space="preserve">the </w:t>
            </w:r>
            <w:r w:rsidRPr="00E13AFC">
              <w:rPr>
                <w:rFonts w:ascii="Calibri" w:hAnsi="Calibri" w:cs="Calibri"/>
              </w:rPr>
              <w:t>Czech society from the end of the 19</w:t>
            </w:r>
            <w:r w:rsidRPr="00E13AFC">
              <w:rPr>
                <w:rFonts w:ascii="Calibri" w:hAnsi="Calibri" w:cs="Calibri"/>
                <w:vertAlign w:val="superscript"/>
              </w:rPr>
              <w:t>th</w:t>
            </w:r>
            <w:r w:rsidRPr="00E13AFC">
              <w:rPr>
                <w:rFonts w:ascii="Calibri" w:hAnsi="Calibri" w:cs="Calibri"/>
              </w:rPr>
              <w:t xml:space="preserve"> century till nowadays. The course is imagined as the diachronic overview, i. e. it </w:t>
            </w:r>
            <w:r w:rsidR="001325C1">
              <w:rPr>
                <w:rFonts w:ascii="Calibri" w:hAnsi="Calibri" w:cs="Calibri"/>
              </w:rPr>
              <w:t>is</w:t>
            </w:r>
            <w:r w:rsidR="0009279C" w:rsidRPr="00E13AFC">
              <w:rPr>
                <w:rFonts w:ascii="Calibri" w:hAnsi="Calibri" w:cs="Calibri"/>
              </w:rPr>
              <w:t xml:space="preserve"> based on the </w:t>
            </w:r>
            <w:r w:rsidR="00E177D4" w:rsidRPr="00E177D4">
              <w:rPr>
                <w:rFonts w:ascii="Calibri" w:hAnsi="Calibri" w:cs="Calibri"/>
              </w:rPr>
              <w:t>commonly known</w:t>
            </w:r>
            <w:r w:rsidR="0009279C" w:rsidRPr="00E177D4">
              <w:rPr>
                <w:rFonts w:ascii="Calibri" w:hAnsi="Calibri" w:cs="Calibri"/>
              </w:rPr>
              <w:t xml:space="preserve"> </w:t>
            </w:r>
            <w:r w:rsidR="0009279C" w:rsidRPr="00E13AFC">
              <w:rPr>
                <w:rFonts w:ascii="Calibri" w:hAnsi="Calibri" w:cs="Calibri"/>
              </w:rPr>
              <w:t>periodization of the Czech history and art</w:t>
            </w:r>
            <w:r w:rsidR="00E13AFC" w:rsidRPr="00E13AFC">
              <w:rPr>
                <w:rFonts w:ascii="Calibri" w:hAnsi="Calibri" w:cs="Calibri"/>
              </w:rPr>
              <w:t>.</w:t>
            </w:r>
            <w:r w:rsidR="008C1AD0">
              <w:rPr>
                <w:rFonts w:ascii="Calibri" w:hAnsi="Calibri" w:cs="Calibri"/>
              </w:rPr>
              <w:t xml:space="preserve"> Students will get acqu</w:t>
            </w:r>
            <w:r w:rsidR="005860DF">
              <w:rPr>
                <w:rFonts w:ascii="Calibri" w:hAnsi="Calibri" w:cs="Calibri"/>
              </w:rPr>
              <w:t>a</w:t>
            </w:r>
            <w:r w:rsidR="008C1AD0">
              <w:rPr>
                <w:rFonts w:ascii="Calibri" w:hAnsi="Calibri" w:cs="Calibri"/>
              </w:rPr>
              <w:t>inted</w:t>
            </w:r>
            <w:r w:rsidR="00E13AFC">
              <w:rPr>
                <w:rFonts w:ascii="Calibri" w:hAnsi="Calibri" w:cs="Calibri"/>
              </w:rPr>
              <w:t xml:space="preserve"> with inner dynamics</w:t>
            </w:r>
            <w:r w:rsidR="00F777E3">
              <w:rPr>
                <w:rFonts w:ascii="Calibri" w:hAnsi="Calibri" w:cs="Calibri"/>
              </w:rPr>
              <w:t xml:space="preserve"> of certain periods and will analyze political, economic, cultural and artistic</w:t>
            </w:r>
            <w:r w:rsidR="009E6862">
              <w:rPr>
                <w:rFonts w:ascii="Calibri" w:hAnsi="Calibri" w:cs="Calibri"/>
              </w:rPr>
              <w:t xml:space="preserve"> life, but also some of not so well known phenomena such as everyday life and spare time, alternative culture, popular culture, samizdat etc. All of these aspects of the Czech society will be analyzed in </w:t>
            </w:r>
            <w:r w:rsidR="00E177D4">
              <w:rPr>
                <w:rFonts w:ascii="Calibri" w:hAnsi="Calibri" w:cs="Calibri"/>
              </w:rPr>
              <w:t>both</w:t>
            </w:r>
            <w:r w:rsidR="009E6862">
              <w:rPr>
                <w:rFonts w:ascii="Calibri" w:hAnsi="Calibri" w:cs="Calibri"/>
              </w:rPr>
              <w:t xml:space="preserve"> European and world context. </w:t>
            </w:r>
          </w:p>
        </w:tc>
      </w:tr>
      <w:tr w:rsidR="005D7B91" w14:paraId="4B87DB3E" w14:textId="77777777" w:rsidTr="00E177D4">
        <w:tc>
          <w:tcPr>
            <w:tcW w:w="9460" w:type="dxa"/>
            <w:gridSpan w:val="3"/>
          </w:tcPr>
          <w:p w14:paraId="2AE26D4D" w14:textId="43C492E0" w:rsidR="005D7B91" w:rsidRPr="0007245F" w:rsidRDefault="005D7B91" w:rsidP="00465279">
            <w:pPr>
              <w:rPr>
                <w:rFonts w:ascii="Calibri" w:hAnsi="Calibri" w:cs="Calibri"/>
                <w:color w:val="FF0000"/>
              </w:rPr>
            </w:pPr>
            <w:r>
              <w:rPr>
                <w:rFonts w:ascii="Calibri" w:hAnsi="Calibri" w:cs="Calibri"/>
              </w:rPr>
              <w:t>Semester</w:t>
            </w:r>
            <w:r w:rsidR="007254DF">
              <w:rPr>
                <w:rStyle w:val="FootnoteReference"/>
                <w:rFonts w:ascii="Calibri" w:hAnsi="Calibri" w:cs="Calibri"/>
              </w:rPr>
              <w:footnoteReference w:id="2"/>
            </w:r>
            <w:r>
              <w:rPr>
                <w:rFonts w:ascii="Calibri" w:hAnsi="Calibri" w:cs="Calibri"/>
              </w:rPr>
              <w:t>:</w:t>
            </w:r>
            <w:r w:rsidR="0007245F" w:rsidRPr="0007245F">
              <w:rPr>
                <w:rFonts w:ascii="Calibri" w:hAnsi="Calibri" w:cs="Calibri"/>
                <w:color w:val="FF0000"/>
              </w:rPr>
              <w:t xml:space="preserve"> </w:t>
            </w:r>
            <w:r w:rsidR="005860DF">
              <w:rPr>
                <w:rFonts w:ascii="Calibri" w:hAnsi="Calibri" w:cs="Calibri"/>
                <w:color w:val="FF0000"/>
              </w:rPr>
              <w:t xml:space="preserve"> </w:t>
            </w:r>
            <w:r w:rsidR="008D1397" w:rsidRPr="008D1397">
              <w:rPr>
                <w:rFonts w:ascii="Calibri" w:hAnsi="Calibri" w:cs="Calibri"/>
              </w:rPr>
              <w:t>Winter</w:t>
            </w:r>
            <w:r w:rsidR="005860DF" w:rsidRPr="008D1397">
              <w:rPr>
                <w:rFonts w:ascii="Calibri" w:hAnsi="Calibri" w:cs="Calibri"/>
              </w:rPr>
              <w:t xml:space="preserve">  20</w:t>
            </w:r>
            <w:r w:rsidR="008D1397" w:rsidRPr="008D1397">
              <w:rPr>
                <w:rFonts w:ascii="Calibri" w:hAnsi="Calibri" w:cs="Calibri"/>
              </w:rPr>
              <w:t>26</w:t>
            </w:r>
            <w:r w:rsidR="005860DF" w:rsidRPr="008D1397">
              <w:rPr>
                <w:rFonts w:ascii="Calibri" w:hAnsi="Calibri" w:cs="Calibri"/>
              </w:rPr>
              <w:t>/</w:t>
            </w:r>
            <w:r w:rsidR="008C1AD0" w:rsidRPr="008D1397">
              <w:rPr>
                <w:rFonts w:ascii="Calibri" w:hAnsi="Calibri" w:cs="Calibri"/>
              </w:rPr>
              <w:t>20</w:t>
            </w:r>
            <w:r w:rsidR="008D1397" w:rsidRPr="008D1397">
              <w:rPr>
                <w:rFonts w:ascii="Calibri" w:hAnsi="Calibri" w:cs="Calibri"/>
              </w:rPr>
              <w:t>27</w:t>
            </w:r>
            <w:r w:rsidR="008C1AD0" w:rsidRPr="008D1397">
              <w:rPr>
                <w:rFonts w:ascii="Calibri" w:hAnsi="Calibri" w:cs="Calibri"/>
              </w:rPr>
              <w:t xml:space="preserve"> (</w:t>
            </w:r>
            <w:r w:rsidR="008C1AD0">
              <w:rPr>
                <w:rFonts w:ascii="Calibri" w:hAnsi="Calibri" w:cs="Calibri"/>
              </w:rPr>
              <w:t xml:space="preserve">The course is not </w:t>
            </w:r>
            <w:r w:rsidR="004D6809">
              <w:rPr>
                <w:rFonts w:ascii="Calibri" w:hAnsi="Calibri" w:cs="Calibri"/>
              </w:rPr>
              <w:t>offered</w:t>
            </w:r>
            <w:r w:rsidR="008C1AD0">
              <w:rPr>
                <w:rFonts w:ascii="Calibri" w:hAnsi="Calibri" w:cs="Calibri"/>
              </w:rPr>
              <w:t xml:space="preserve"> every year.)</w:t>
            </w:r>
          </w:p>
        </w:tc>
      </w:tr>
      <w:tr w:rsidR="00714366" w14:paraId="673B50D2" w14:textId="77777777" w:rsidTr="00E177D4">
        <w:tc>
          <w:tcPr>
            <w:tcW w:w="9460" w:type="dxa"/>
            <w:gridSpan w:val="3"/>
          </w:tcPr>
          <w:p w14:paraId="35F2C32C" w14:textId="77777777" w:rsidR="00714366" w:rsidRDefault="00714366" w:rsidP="00714366">
            <w:pPr>
              <w:rPr>
                <w:rFonts w:ascii="Calibri" w:hAnsi="Calibri" w:cs="Calibri"/>
              </w:rPr>
            </w:pPr>
            <w:r>
              <w:rPr>
                <w:rFonts w:ascii="Calibri" w:hAnsi="Calibri" w:cs="Calibri"/>
              </w:rPr>
              <w:t>Lecturer</w:t>
            </w:r>
            <w:r w:rsidR="007254DF">
              <w:rPr>
                <w:rFonts w:ascii="Calibri" w:hAnsi="Calibri" w:cs="Calibri"/>
              </w:rPr>
              <w:t>(s)/Teacher(s)</w:t>
            </w:r>
            <w:r>
              <w:rPr>
                <w:rFonts w:ascii="Calibri" w:hAnsi="Calibri" w:cs="Calibri"/>
              </w:rPr>
              <w:t>:</w:t>
            </w:r>
            <w:r w:rsidR="00551F51">
              <w:rPr>
                <w:rFonts w:ascii="Calibri" w:hAnsi="Calibri" w:cs="Calibri"/>
              </w:rPr>
              <w:t xml:space="preserve"> Matija Ivačić</w:t>
            </w:r>
          </w:p>
          <w:p w14:paraId="3D364D2B" w14:textId="77777777" w:rsidR="00C64195" w:rsidRPr="00714366" w:rsidRDefault="00C64195" w:rsidP="00714366">
            <w:pPr>
              <w:rPr>
                <w:rFonts w:ascii="Calibri" w:hAnsi="Calibri" w:cs="Calibri"/>
              </w:rPr>
            </w:pPr>
          </w:p>
        </w:tc>
      </w:tr>
      <w:tr w:rsidR="00A01504" w14:paraId="1A54AB7C" w14:textId="77777777" w:rsidTr="00E177D4">
        <w:tc>
          <w:tcPr>
            <w:tcW w:w="9460" w:type="dxa"/>
            <w:gridSpan w:val="3"/>
          </w:tcPr>
          <w:p w14:paraId="69987F33" w14:textId="77777777" w:rsidR="00E203E8" w:rsidRDefault="00E203E8" w:rsidP="00714366">
            <w:pPr>
              <w:rPr>
                <w:rFonts w:ascii="Calibri" w:hAnsi="Calibri" w:cs="Calibri"/>
              </w:rPr>
            </w:pPr>
            <w:r>
              <w:rPr>
                <w:rFonts w:ascii="Calibri" w:hAnsi="Calibri" w:cs="Calibri"/>
              </w:rPr>
              <w:t>Teaching Language (regular)</w:t>
            </w:r>
            <w:r w:rsidR="00C64195">
              <w:rPr>
                <w:rStyle w:val="FootnoteReference"/>
                <w:rFonts w:ascii="Calibri" w:hAnsi="Calibri" w:cs="Calibri"/>
              </w:rPr>
              <w:footnoteReference w:id="3"/>
            </w:r>
            <w:r w:rsidR="007254DF">
              <w:rPr>
                <w:rFonts w:ascii="Calibri" w:hAnsi="Calibri" w:cs="Calibri"/>
              </w:rPr>
              <w:t>:</w:t>
            </w:r>
            <w:r w:rsidR="00551F51">
              <w:rPr>
                <w:rFonts w:ascii="Calibri" w:hAnsi="Calibri" w:cs="Calibri"/>
              </w:rPr>
              <w:t xml:space="preserve"> Czech</w:t>
            </w:r>
          </w:p>
        </w:tc>
      </w:tr>
      <w:tr w:rsidR="007254DF" w14:paraId="1D9E1DD0" w14:textId="77777777" w:rsidTr="00E177D4">
        <w:tc>
          <w:tcPr>
            <w:tcW w:w="9460" w:type="dxa"/>
            <w:gridSpan w:val="3"/>
          </w:tcPr>
          <w:p w14:paraId="3D43735D" w14:textId="77777777" w:rsidR="007254DF" w:rsidRDefault="007254DF" w:rsidP="00714366">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rsidR="001325C1">
              <w:rPr>
                <w:rFonts w:ascii="Calibri" w:hAnsi="Calibri" w:cs="Calibri"/>
              </w:rPr>
              <w:t xml:space="preserve"> T</w:t>
            </w:r>
            <w:r w:rsidR="00551F51">
              <w:rPr>
                <w:rFonts w:ascii="Calibri" w:hAnsi="Calibri" w:cs="Calibri"/>
              </w:rPr>
              <w:t>eaching through lectures and seminars</w:t>
            </w:r>
          </w:p>
          <w:p w14:paraId="5FAD7CEB" w14:textId="77777777" w:rsidR="009C6004" w:rsidRDefault="009C6004" w:rsidP="00714366">
            <w:pPr>
              <w:rPr>
                <w:rFonts w:ascii="Calibri" w:hAnsi="Calibri" w:cs="Calibri"/>
              </w:rPr>
            </w:pPr>
          </w:p>
        </w:tc>
      </w:tr>
      <w:tr w:rsidR="00714366" w14:paraId="3A16BF40" w14:textId="77777777" w:rsidTr="00E177D4">
        <w:tc>
          <w:tcPr>
            <w:tcW w:w="3132" w:type="dxa"/>
          </w:tcPr>
          <w:p w14:paraId="55EA7141" w14:textId="77777777" w:rsidR="00714366" w:rsidRPr="00714366" w:rsidRDefault="005D7B91" w:rsidP="00714366">
            <w:pPr>
              <w:rPr>
                <w:rFonts w:ascii="Calibri" w:hAnsi="Calibri" w:cs="Calibri"/>
              </w:rPr>
            </w:pPr>
            <w:r>
              <w:rPr>
                <w:rFonts w:ascii="Calibri" w:hAnsi="Calibri" w:cs="Calibri"/>
              </w:rPr>
              <w:t>Teaching</w:t>
            </w:r>
            <w:r w:rsidR="00465279">
              <w:rPr>
                <w:rFonts w:ascii="Calibri" w:hAnsi="Calibri" w:cs="Calibri"/>
              </w:rPr>
              <w:t>:</w:t>
            </w:r>
          </w:p>
        </w:tc>
        <w:tc>
          <w:tcPr>
            <w:tcW w:w="3132" w:type="dxa"/>
          </w:tcPr>
          <w:p w14:paraId="1E07A966" w14:textId="77777777" w:rsidR="00714366" w:rsidRPr="00714366" w:rsidRDefault="005D7B91" w:rsidP="00C122B0">
            <w:pPr>
              <w:rPr>
                <w:rFonts w:ascii="Calibri" w:hAnsi="Calibri" w:cs="Calibri"/>
              </w:rPr>
            </w:pPr>
            <w:r>
              <w:rPr>
                <w:rFonts w:ascii="Calibri" w:hAnsi="Calibri" w:cs="Calibri"/>
              </w:rPr>
              <w:t>Weekly</w:t>
            </w:r>
            <w:r w:rsidR="00C122B0">
              <w:rPr>
                <w:rFonts w:ascii="Calibri" w:hAnsi="Calibri" w:cs="Calibri"/>
              </w:rPr>
              <w:t xml:space="preserve"> (hours)</w:t>
            </w:r>
          </w:p>
        </w:tc>
        <w:tc>
          <w:tcPr>
            <w:tcW w:w="3196" w:type="dxa"/>
          </w:tcPr>
          <w:p w14:paraId="26FA7F47" w14:textId="77777777" w:rsidR="00714366" w:rsidRDefault="005D7B91" w:rsidP="00714366">
            <w:pPr>
              <w:rPr>
                <w:rFonts w:ascii="Calibri" w:hAnsi="Calibri" w:cs="Calibri"/>
              </w:rPr>
            </w:pPr>
            <w:r>
              <w:rPr>
                <w:rFonts w:ascii="Calibri" w:hAnsi="Calibri" w:cs="Calibri"/>
              </w:rPr>
              <w:t>Semester</w:t>
            </w:r>
            <w:r w:rsidR="00C122B0">
              <w:rPr>
                <w:rFonts w:ascii="Calibri" w:hAnsi="Calibri" w:cs="Calibri"/>
              </w:rPr>
              <w:t xml:space="preserve"> (hours)</w:t>
            </w:r>
          </w:p>
          <w:p w14:paraId="72F19CBC" w14:textId="77777777" w:rsidR="00465279" w:rsidRPr="00714366" w:rsidRDefault="00465279" w:rsidP="00714366">
            <w:pPr>
              <w:rPr>
                <w:rFonts w:ascii="Calibri" w:hAnsi="Calibri" w:cs="Calibri"/>
              </w:rPr>
            </w:pPr>
          </w:p>
        </w:tc>
      </w:tr>
      <w:tr w:rsidR="00714366" w14:paraId="5AF3AC40" w14:textId="77777777" w:rsidTr="00E177D4">
        <w:tc>
          <w:tcPr>
            <w:tcW w:w="3132" w:type="dxa"/>
          </w:tcPr>
          <w:p w14:paraId="15B3C3E8" w14:textId="77777777" w:rsidR="00714366" w:rsidRPr="00714366" w:rsidRDefault="005D7B91" w:rsidP="00714366">
            <w:pPr>
              <w:rPr>
                <w:rFonts w:ascii="Calibri" w:hAnsi="Calibri" w:cs="Calibri"/>
              </w:rPr>
            </w:pPr>
            <w:r>
              <w:rPr>
                <w:rFonts w:ascii="Calibri" w:hAnsi="Calibri" w:cs="Calibri"/>
              </w:rPr>
              <w:t>Lectures:</w:t>
            </w:r>
          </w:p>
        </w:tc>
        <w:tc>
          <w:tcPr>
            <w:tcW w:w="3132" w:type="dxa"/>
          </w:tcPr>
          <w:p w14:paraId="2C6F63F7" w14:textId="77777777" w:rsidR="00714366" w:rsidRPr="00714366" w:rsidRDefault="00551F51" w:rsidP="00714366">
            <w:pPr>
              <w:rPr>
                <w:rFonts w:ascii="Calibri" w:hAnsi="Calibri" w:cs="Calibri"/>
              </w:rPr>
            </w:pPr>
            <w:r>
              <w:rPr>
                <w:rFonts w:ascii="Calibri" w:hAnsi="Calibri" w:cs="Calibri"/>
              </w:rPr>
              <w:t>1</w:t>
            </w:r>
          </w:p>
        </w:tc>
        <w:tc>
          <w:tcPr>
            <w:tcW w:w="3196" w:type="dxa"/>
          </w:tcPr>
          <w:p w14:paraId="485AB58D" w14:textId="77777777" w:rsidR="00714366" w:rsidRPr="00714366" w:rsidRDefault="00551F51" w:rsidP="00714366">
            <w:pPr>
              <w:rPr>
                <w:rFonts w:ascii="Calibri" w:hAnsi="Calibri" w:cs="Calibri"/>
              </w:rPr>
            </w:pPr>
            <w:r>
              <w:rPr>
                <w:rFonts w:ascii="Calibri" w:hAnsi="Calibri" w:cs="Calibri"/>
              </w:rPr>
              <w:t>15</w:t>
            </w:r>
          </w:p>
        </w:tc>
      </w:tr>
      <w:tr w:rsidR="00714366" w14:paraId="0569C4FB" w14:textId="77777777" w:rsidTr="00E177D4">
        <w:tc>
          <w:tcPr>
            <w:tcW w:w="3132" w:type="dxa"/>
          </w:tcPr>
          <w:p w14:paraId="5123FEC5" w14:textId="77777777" w:rsidR="00714366" w:rsidRPr="00714366" w:rsidRDefault="005D7B91" w:rsidP="00714366">
            <w:pPr>
              <w:rPr>
                <w:rFonts w:ascii="Calibri" w:hAnsi="Calibri" w:cs="Calibri"/>
              </w:rPr>
            </w:pPr>
            <w:r>
              <w:rPr>
                <w:rFonts w:ascii="Calibri" w:hAnsi="Calibri" w:cs="Calibri"/>
              </w:rPr>
              <w:t>Exercises:</w:t>
            </w:r>
          </w:p>
        </w:tc>
        <w:tc>
          <w:tcPr>
            <w:tcW w:w="3132" w:type="dxa"/>
          </w:tcPr>
          <w:p w14:paraId="6CF1BE81" w14:textId="77777777" w:rsidR="00714366" w:rsidRPr="00714366" w:rsidRDefault="00714366" w:rsidP="00714366">
            <w:pPr>
              <w:rPr>
                <w:rFonts w:ascii="Calibri" w:hAnsi="Calibri" w:cs="Calibri"/>
              </w:rPr>
            </w:pPr>
          </w:p>
        </w:tc>
        <w:tc>
          <w:tcPr>
            <w:tcW w:w="3196" w:type="dxa"/>
          </w:tcPr>
          <w:p w14:paraId="11264D22" w14:textId="77777777" w:rsidR="00714366" w:rsidRPr="00714366" w:rsidRDefault="00714366" w:rsidP="00714366">
            <w:pPr>
              <w:rPr>
                <w:rFonts w:ascii="Calibri" w:hAnsi="Calibri" w:cs="Calibri"/>
              </w:rPr>
            </w:pPr>
          </w:p>
        </w:tc>
      </w:tr>
      <w:tr w:rsidR="00714366" w14:paraId="0BA0FA84" w14:textId="77777777" w:rsidTr="00E177D4">
        <w:tc>
          <w:tcPr>
            <w:tcW w:w="3132" w:type="dxa"/>
          </w:tcPr>
          <w:p w14:paraId="45B68A6E" w14:textId="77777777" w:rsidR="00714366" w:rsidRPr="00714366" w:rsidRDefault="005D7B91" w:rsidP="00714366">
            <w:pPr>
              <w:rPr>
                <w:rFonts w:ascii="Calibri" w:hAnsi="Calibri" w:cs="Calibri"/>
              </w:rPr>
            </w:pPr>
            <w:r>
              <w:rPr>
                <w:rFonts w:ascii="Calibri" w:hAnsi="Calibri" w:cs="Calibri"/>
              </w:rPr>
              <w:t>Seminars:</w:t>
            </w:r>
          </w:p>
        </w:tc>
        <w:tc>
          <w:tcPr>
            <w:tcW w:w="3132" w:type="dxa"/>
          </w:tcPr>
          <w:p w14:paraId="06E96F1D" w14:textId="77777777" w:rsidR="00714366" w:rsidRPr="00714366" w:rsidRDefault="00551F51" w:rsidP="00714366">
            <w:pPr>
              <w:rPr>
                <w:rFonts w:ascii="Calibri" w:hAnsi="Calibri" w:cs="Calibri"/>
              </w:rPr>
            </w:pPr>
            <w:r>
              <w:rPr>
                <w:rFonts w:ascii="Calibri" w:hAnsi="Calibri" w:cs="Calibri"/>
              </w:rPr>
              <w:t>1</w:t>
            </w:r>
          </w:p>
        </w:tc>
        <w:tc>
          <w:tcPr>
            <w:tcW w:w="3196" w:type="dxa"/>
          </w:tcPr>
          <w:p w14:paraId="44585425" w14:textId="77777777" w:rsidR="00714366" w:rsidRPr="00714366" w:rsidRDefault="00551F51" w:rsidP="00714366">
            <w:pPr>
              <w:rPr>
                <w:rFonts w:ascii="Calibri" w:hAnsi="Calibri" w:cs="Calibri"/>
              </w:rPr>
            </w:pPr>
            <w:r>
              <w:rPr>
                <w:rFonts w:ascii="Calibri" w:hAnsi="Calibri" w:cs="Calibri"/>
              </w:rPr>
              <w:t>15</w:t>
            </w:r>
          </w:p>
        </w:tc>
      </w:tr>
      <w:tr w:rsidR="00714366" w14:paraId="4B610142" w14:textId="77777777" w:rsidTr="00E177D4">
        <w:tc>
          <w:tcPr>
            <w:tcW w:w="9460" w:type="dxa"/>
            <w:gridSpan w:val="3"/>
          </w:tcPr>
          <w:p w14:paraId="39B76315" w14:textId="3A06C576" w:rsidR="00714366" w:rsidRPr="00714366" w:rsidRDefault="005D7B91" w:rsidP="00714366">
            <w:pPr>
              <w:rPr>
                <w:rFonts w:ascii="Calibri" w:hAnsi="Calibri" w:cs="Calibri"/>
              </w:rPr>
            </w:pPr>
            <w:r>
              <w:rPr>
                <w:rFonts w:ascii="Calibri" w:hAnsi="Calibri" w:cs="Calibri"/>
              </w:rPr>
              <w:t>ECTS:</w:t>
            </w:r>
            <w:r w:rsidR="00551F51">
              <w:rPr>
                <w:rFonts w:ascii="Calibri" w:hAnsi="Calibri" w:cs="Calibri"/>
              </w:rPr>
              <w:t xml:space="preserve"> </w:t>
            </w:r>
            <w:r w:rsidR="008D1397">
              <w:rPr>
                <w:rFonts w:ascii="Calibri" w:hAnsi="Calibri" w:cs="Calibri"/>
              </w:rPr>
              <w:t>3</w:t>
            </w:r>
          </w:p>
        </w:tc>
      </w:tr>
      <w:tr w:rsidR="00BC2B7F" w14:paraId="2F74E925" w14:textId="77777777" w:rsidTr="00E177D4">
        <w:tc>
          <w:tcPr>
            <w:tcW w:w="9460" w:type="dxa"/>
            <w:gridSpan w:val="3"/>
          </w:tcPr>
          <w:p w14:paraId="637A18A4" w14:textId="77777777" w:rsidR="00BC2B7F" w:rsidRDefault="00BC2B7F" w:rsidP="00714366">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sidR="00551F51">
              <w:rPr>
                <w:rFonts w:ascii="Calibri" w:hAnsi="Calibri" w:cs="Calibri"/>
              </w:rPr>
              <w:t xml:space="preserve"> Czech B2</w:t>
            </w:r>
          </w:p>
          <w:p w14:paraId="5E103959" w14:textId="77777777" w:rsidR="00C64195" w:rsidRPr="009C6004" w:rsidRDefault="00C64195" w:rsidP="00714366">
            <w:pPr>
              <w:rPr>
                <w:rFonts w:ascii="Calibri" w:hAnsi="Calibri" w:cs="Calibri"/>
              </w:rPr>
            </w:pPr>
          </w:p>
        </w:tc>
      </w:tr>
      <w:tr w:rsidR="00BC2B7F" w14:paraId="3890B035" w14:textId="77777777" w:rsidTr="00E177D4">
        <w:tc>
          <w:tcPr>
            <w:tcW w:w="9460" w:type="dxa"/>
            <w:gridSpan w:val="3"/>
          </w:tcPr>
          <w:p w14:paraId="3320F3CE" w14:textId="77777777" w:rsidR="00BC2B7F" w:rsidRDefault="00BC2B7F" w:rsidP="00714366">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00551F51">
              <w:rPr>
                <w:rFonts w:ascii="Calibri" w:hAnsi="Calibri" w:cs="Calibri"/>
              </w:rPr>
              <w:t xml:space="preserve"> L2</w:t>
            </w:r>
          </w:p>
          <w:p w14:paraId="1235E4A1" w14:textId="77777777" w:rsidR="00C64195" w:rsidRPr="00BC2B7F" w:rsidRDefault="00C64195" w:rsidP="00714366">
            <w:pPr>
              <w:rPr>
                <w:rFonts w:ascii="Calibri" w:hAnsi="Calibri" w:cs="Calibri"/>
              </w:rPr>
            </w:pPr>
          </w:p>
        </w:tc>
      </w:tr>
      <w:tr w:rsidR="00EB59AF" w14:paraId="6398F1BA" w14:textId="77777777" w:rsidTr="00E177D4">
        <w:tc>
          <w:tcPr>
            <w:tcW w:w="9460" w:type="dxa"/>
            <w:gridSpan w:val="3"/>
          </w:tcPr>
          <w:p w14:paraId="21C4B22E" w14:textId="77777777" w:rsidR="00EB59AF" w:rsidRPr="003B1E7C" w:rsidRDefault="003804F7" w:rsidP="00714366">
            <w:pPr>
              <w:rPr>
                <w:rFonts w:ascii="Calibri" w:hAnsi="Calibri" w:cs="Calibri"/>
              </w:rPr>
            </w:pPr>
            <w:r w:rsidRPr="003B1E7C">
              <w:rPr>
                <w:rFonts w:ascii="Calibri" w:hAnsi="Calibri" w:cs="Calibri"/>
              </w:rPr>
              <w:t>Evaluation</w:t>
            </w:r>
            <w:r w:rsidR="00EB59AF" w:rsidRPr="003B1E7C">
              <w:rPr>
                <w:rFonts w:ascii="Calibri" w:hAnsi="Calibri" w:cs="Calibri"/>
              </w:rPr>
              <w:t xml:space="preserve"> Methods</w:t>
            </w:r>
            <w:r w:rsidR="00D12733">
              <w:rPr>
                <w:rStyle w:val="FootnoteReference"/>
                <w:rFonts w:ascii="Calibri" w:hAnsi="Calibri" w:cs="Calibri"/>
              </w:rPr>
              <w:footnoteReference w:id="7"/>
            </w:r>
            <w:r w:rsidR="00381EEA" w:rsidRPr="003B1E7C">
              <w:rPr>
                <w:rFonts w:ascii="Calibri" w:hAnsi="Calibri" w:cs="Calibri"/>
              </w:rPr>
              <w:t xml:space="preserve"> and Grading</w:t>
            </w:r>
            <w:r w:rsidR="00D12733">
              <w:rPr>
                <w:rStyle w:val="FootnoteReference"/>
                <w:rFonts w:ascii="Calibri" w:hAnsi="Calibri" w:cs="Calibri"/>
              </w:rPr>
              <w:footnoteReference w:id="8"/>
            </w:r>
            <w:r w:rsidR="00381EEA" w:rsidRPr="003B1E7C">
              <w:rPr>
                <w:rFonts w:ascii="Calibri" w:hAnsi="Calibri" w:cs="Calibri"/>
              </w:rPr>
              <w:t>:</w:t>
            </w:r>
            <w:r w:rsidR="00551F51">
              <w:rPr>
                <w:rFonts w:ascii="Calibri" w:hAnsi="Calibri" w:cs="Calibri"/>
              </w:rPr>
              <w:t xml:space="preserve"> Seminar Paper and Oral Exam; Standard Grading</w:t>
            </w:r>
          </w:p>
          <w:p w14:paraId="11F448C9" w14:textId="77777777" w:rsidR="00EB59AF" w:rsidRDefault="00EB59AF" w:rsidP="00714366">
            <w:pPr>
              <w:rPr>
                <w:rFonts w:ascii="Calibri" w:hAnsi="Calibri" w:cs="Calibri"/>
              </w:rPr>
            </w:pPr>
          </w:p>
        </w:tc>
      </w:tr>
      <w:tr w:rsidR="00714366" w14:paraId="79CB7C60" w14:textId="77777777" w:rsidTr="00E177D4">
        <w:tc>
          <w:tcPr>
            <w:tcW w:w="9460" w:type="dxa"/>
            <w:gridSpan w:val="3"/>
          </w:tcPr>
          <w:p w14:paraId="7D7E5AF0" w14:textId="77777777" w:rsidR="00714366" w:rsidRPr="00F12CE3" w:rsidRDefault="005D7B91" w:rsidP="00714366">
            <w:pPr>
              <w:rPr>
                <w:rFonts w:ascii="Calibri" w:hAnsi="Calibri" w:cs="Calibri"/>
              </w:rPr>
            </w:pPr>
            <w:r w:rsidRPr="00F12CE3">
              <w:rPr>
                <w:rFonts w:ascii="Calibri" w:hAnsi="Calibri" w:cs="Calibri"/>
              </w:rPr>
              <w:lastRenderedPageBreak/>
              <w:t>Learning Outcomes:</w:t>
            </w:r>
          </w:p>
          <w:p w14:paraId="73739861" w14:textId="77777777" w:rsidR="00D00AF0" w:rsidRDefault="00D00AF0" w:rsidP="00714366">
            <w:pPr>
              <w:rPr>
                <w:rFonts w:ascii="Calibri" w:hAnsi="Calibri" w:cs="Calibri"/>
              </w:rPr>
            </w:pPr>
            <w:r w:rsidRPr="00D00AF0">
              <w:rPr>
                <w:rFonts w:ascii="Calibri" w:hAnsi="Calibri" w:cs="Calibri"/>
              </w:rPr>
              <w:t>By the end of this course, students will be able to:</w:t>
            </w:r>
          </w:p>
          <w:p w14:paraId="34A9B05C" w14:textId="77777777" w:rsidR="00D00AF0" w:rsidRPr="001325C1" w:rsidRDefault="00D00AF0" w:rsidP="00D00AF0">
            <w:pPr>
              <w:pStyle w:val="ListParagraph"/>
              <w:numPr>
                <w:ilvl w:val="0"/>
                <w:numId w:val="1"/>
              </w:numPr>
              <w:rPr>
                <w:rFonts w:ascii="Calibri" w:hAnsi="Calibri" w:cstheme="minorHAnsi"/>
                <w:sz w:val="24"/>
              </w:rPr>
            </w:pPr>
            <w:r w:rsidRPr="001325C1">
              <w:rPr>
                <w:rFonts w:ascii="Calibri" w:hAnsi="Calibri" w:cstheme="minorHAnsi"/>
                <w:color w:val="323232"/>
                <w:szCs w:val="21"/>
                <w:shd w:val="clear" w:color="auto" w:fill="FFFFFF"/>
              </w:rPr>
              <w:t>identify and describe different tendencies in Czech politics, culture and art from the end of the 19</w:t>
            </w:r>
            <w:r w:rsidRPr="001325C1">
              <w:rPr>
                <w:rFonts w:ascii="Calibri" w:hAnsi="Calibri" w:cstheme="minorHAnsi"/>
                <w:color w:val="323232"/>
                <w:szCs w:val="21"/>
                <w:shd w:val="clear" w:color="auto" w:fill="FFFFFF"/>
                <w:vertAlign w:val="superscript"/>
              </w:rPr>
              <w:t>th</w:t>
            </w:r>
            <w:r w:rsidRPr="001325C1">
              <w:rPr>
                <w:rFonts w:ascii="Calibri" w:hAnsi="Calibri" w:cstheme="minorHAnsi"/>
                <w:color w:val="323232"/>
                <w:szCs w:val="21"/>
                <w:shd w:val="clear" w:color="auto" w:fill="FFFFFF"/>
              </w:rPr>
              <w:t xml:space="preserve"> century till nowadays. </w:t>
            </w:r>
          </w:p>
          <w:p w14:paraId="6CDF7B48" w14:textId="77777777" w:rsidR="00D00AF0" w:rsidRDefault="00D00AF0" w:rsidP="00D00AF0">
            <w:pPr>
              <w:pStyle w:val="ListParagraph"/>
              <w:numPr>
                <w:ilvl w:val="0"/>
                <w:numId w:val="1"/>
              </w:numPr>
              <w:rPr>
                <w:rFonts w:ascii="Calibri" w:hAnsi="Calibri" w:cs="Calibri"/>
              </w:rPr>
            </w:pPr>
            <w:r>
              <w:rPr>
                <w:rFonts w:ascii="Calibri" w:hAnsi="Calibri" w:cs="Calibri"/>
              </w:rPr>
              <w:t xml:space="preserve">explain the implications of different tendencies and phenomena of </w:t>
            </w:r>
            <w:r w:rsidR="00766CA5">
              <w:rPr>
                <w:rFonts w:ascii="Calibri" w:hAnsi="Calibri" w:cs="Calibri"/>
              </w:rPr>
              <w:t xml:space="preserve">certain period on later periods. </w:t>
            </w:r>
          </w:p>
          <w:p w14:paraId="54896C65" w14:textId="77777777" w:rsidR="00766CA5" w:rsidRPr="00F12CE3" w:rsidRDefault="00766CA5" w:rsidP="00766CA5">
            <w:pPr>
              <w:pStyle w:val="ListParagraph"/>
              <w:numPr>
                <w:ilvl w:val="0"/>
                <w:numId w:val="1"/>
              </w:numPr>
              <w:rPr>
                <w:rFonts w:cstheme="minorHAnsi"/>
                <w:sz w:val="24"/>
              </w:rPr>
            </w:pPr>
            <w:r>
              <w:rPr>
                <w:rFonts w:ascii="Calibri" w:hAnsi="Calibri" w:cs="Calibri"/>
              </w:rPr>
              <w:t>compare certain periods or simil</w:t>
            </w:r>
            <w:r w:rsidR="00F12CE3">
              <w:rPr>
                <w:rFonts w:ascii="Calibri" w:hAnsi="Calibri" w:cs="Calibri"/>
              </w:rPr>
              <w:t>ar phenomena in certain periods</w:t>
            </w:r>
            <w:r>
              <w:rPr>
                <w:rFonts w:ascii="Helvetica" w:hAnsi="Helvetica" w:cs="Helvetica"/>
                <w:color w:val="323232"/>
                <w:sz w:val="21"/>
                <w:szCs w:val="21"/>
                <w:shd w:val="clear" w:color="auto" w:fill="FFFFFF"/>
              </w:rPr>
              <w:t xml:space="preserve"> </w:t>
            </w:r>
            <w:r w:rsidRPr="00F12CE3">
              <w:rPr>
                <w:rFonts w:cstheme="minorHAnsi"/>
                <w:color w:val="323232"/>
                <w:szCs w:val="21"/>
                <w:shd w:val="clear" w:color="auto" w:fill="FFFFFF"/>
              </w:rPr>
              <w:t>from the end of the 19</w:t>
            </w:r>
            <w:r w:rsidRPr="00F12CE3">
              <w:rPr>
                <w:rFonts w:cstheme="minorHAnsi"/>
                <w:color w:val="323232"/>
                <w:szCs w:val="21"/>
                <w:shd w:val="clear" w:color="auto" w:fill="FFFFFF"/>
                <w:vertAlign w:val="superscript"/>
              </w:rPr>
              <w:t>th</w:t>
            </w:r>
            <w:r w:rsidRPr="00F12CE3">
              <w:rPr>
                <w:rFonts w:cstheme="minorHAnsi"/>
                <w:color w:val="323232"/>
                <w:szCs w:val="21"/>
                <w:shd w:val="clear" w:color="auto" w:fill="FFFFFF"/>
              </w:rPr>
              <w:t xml:space="preserve"> century till nowadays. </w:t>
            </w:r>
          </w:p>
          <w:p w14:paraId="3710469E" w14:textId="77777777" w:rsidR="00766CA5" w:rsidRDefault="00766CA5" w:rsidP="00766CA5">
            <w:pPr>
              <w:pStyle w:val="ListParagraph"/>
              <w:numPr>
                <w:ilvl w:val="0"/>
                <w:numId w:val="1"/>
              </w:numPr>
              <w:rPr>
                <w:rFonts w:ascii="Calibri" w:hAnsi="Calibri" w:cs="Calibri"/>
              </w:rPr>
            </w:pPr>
            <w:r>
              <w:rPr>
                <w:rFonts w:ascii="Calibri" w:hAnsi="Calibri" w:cs="Calibri"/>
              </w:rPr>
              <w:t>explain</w:t>
            </w:r>
            <w:r w:rsidRPr="00766CA5">
              <w:rPr>
                <w:rFonts w:ascii="Calibri" w:hAnsi="Calibri" w:cs="Calibri"/>
              </w:rPr>
              <w:t xml:space="preserve"> </w:t>
            </w:r>
            <w:r w:rsidR="00F12CE3">
              <w:rPr>
                <w:rFonts w:ascii="Calibri" w:hAnsi="Calibri" w:cs="Calibri"/>
              </w:rPr>
              <w:t xml:space="preserve">causal </w:t>
            </w:r>
            <w:r>
              <w:rPr>
                <w:rFonts w:ascii="Calibri" w:hAnsi="Calibri" w:cs="Calibri"/>
              </w:rPr>
              <w:t xml:space="preserve">connections between certain periods and their phenomena in the diachronic perspective. </w:t>
            </w:r>
          </w:p>
          <w:p w14:paraId="0671F2C5" w14:textId="77777777" w:rsidR="00766CA5" w:rsidRPr="00D00AF0" w:rsidRDefault="00F12CE3" w:rsidP="00766CA5">
            <w:pPr>
              <w:pStyle w:val="ListParagraph"/>
              <w:numPr>
                <w:ilvl w:val="0"/>
                <w:numId w:val="1"/>
              </w:numPr>
              <w:rPr>
                <w:rFonts w:ascii="Calibri" w:hAnsi="Calibri" w:cs="Calibri"/>
              </w:rPr>
            </w:pPr>
            <w:r>
              <w:rPr>
                <w:rFonts w:ascii="Calibri" w:hAnsi="Calibri" w:cs="Calibri"/>
              </w:rPr>
              <w:t xml:space="preserve">name the most important participants of certain periods, tendencies or art movements. </w:t>
            </w:r>
          </w:p>
          <w:p w14:paraId="5C7B1B19" w14:textId="77777777" w:rsidR="00EB59AF" w:rsidRPr="00714366" w:rsidRDefault="00EB59AF" w:rsidP="00714366">
            <w:pPr>
              <w:rPr>
                <w:rFonts w:ascii="Calibri" w:hAnsi="Calibri" w:cs="Calibri"/>
              </w:rPr>
            </w:pPr>
          </w:p>
        </w:tc>
      </w:tr>
      <w:tr w:rsidR="00714366" w14:paraId="68BCED9E" w14:textId="77777777" w:rsidTr="00E177D4">
        <w:tc>
          <w:tcPr>
            <w:tcW w:w="9460" w:type="dxa"/>
            <w:gridSpan w:val="3"/>
          </w:tcPr>
          <w:p w14:paraId="0E6F571B" w14:textId="77777777" w:rsidR="00714366" w:rsidRDefault="00EB59AF" w:rsidP="00714366">
            <w:pPr>
              <w:rPr>
                <w:rFonts w:ascii="Calibri" w:hAnsi="Calibri" w:cs="Calibri"/>
              </w:rPr>
            </w:pPr>
            <w:r>
              <w:rPr>
                <w:rFonts w:ascii="Calibri" w:hAnsi="Calibri" w:cs="Calibri"/>
              </w:rPr>
              <w:t>Literature:</w:t>
            </w:r>
          </w:p>
          <w:p w14:paraId="606D4D65" w14:textId="77777777" w:rsidR="00551F51" w:rsidRPr="00613B79" w:rsidRDefault="00551F51" w:rsidP="00551F51">
            <w:pPr>
              <w:spacing w:line="259" w:lineRule="auto"/>
            </w:pPr>
            <w:r w:rsidRPr="00613B79">
              <w:t xml:space="preserve">Bělina, Pavel (ur.), </w:t>
            </w:r>
            <w:r w:rsidRPr="00613B79">
              <w:rPr>
                <w:i/>
              </w:rPr>
              <w:t>Povijest Češke: od seobe Slavena do suvremenog doba</w:t>
            </w:r>
            <w:r w:rsidRPr="00613B79">
              <w:t>, Sandorf, Zagreb 2014.</w:t>
            </w:r>
          </w:p>
          <w:p w14:paraId="5C3F0A6F" w14:textId="77777777" w:rsidR="00551F51" w:rsidRPr="00613B79" w:rsidRDefault="00551F51" w:rsidP="00551F51">
            <w:pPr>
              <w:spacing w:line="259" w:lineRule="auto"/>
            </w:pPr>
            <w:r w:rsidRPr="00613B79">
              <w:t xml:space="preserve">Papoušek, Vladimír (ur.), </w:t>
            </w:r>
            <w:r w:rsidRPr="00613B79">
              <w:rPr>
                <w:i/>
              </w:rPr>
              <w:t>Dějiny nové moderny: česká literatura v letech 1905-1923</w:t>
            </w:r>
            <w:r w:rsidRPr="00613B79">
              <w:t>, Academia, Praha 2010.</w:t>
            </w:r>
          </w:p>
          <w:p w14:paraId="79802FFE" w14:textId="77777777" w:rsidR="00551F51" w:rsidRPr="00613B79" w:rsidRDefault="00551F51" w:rsidP="00551F51">
            <w:pPr>
              <w:spacing w:line="259" w:lineRule="auto"/>
            </w:pPr>
            <w:r w:rsidRPr="00613B79">
              <w:t xml:space="preserve">Kalista, Zdeněk, </w:t>
            </w:r>
            <w:r w:rsidRPr="00613B79">
              <w:rPr>
                <w:i/>
              </w:rPr>
              <w:t>Čechové, kteří tvořili dějiny světa</w:t>
            </w:r>
            <w:r w:rsidRPr="00613B79">
              <w:t>, Garamond, Praha 1999.</w:t>
            </w:r>
          </w:p>
          <w:p w14:paraId="45BE2426" w14:textId="77777777" w:rsidR="00551F51" w:rsidRPr="00613B79" w:rsidRDefault="00551F51" w:rsidP="00551F51">
            <w:pPr>
              <w:spacing w:line="259" w:lineRule="auto"/>
            </w:pPr>
            <w:r w:rsidRPr="00613B79">
              <w:t xml:space="preserve">Alan, Josef (ur.), </w:t>
            </w:r>
            <w:r w:rsidRPr="00613B79">
              <w:rPr>
                <w:i/>
              </w:rPr>
              <w:t>Alternativní kultura. Příběh české společnosti 1945-1989</w:t>
            </w:r>
            <w:r w:rsidRPr="00613B79">
              <w:t>, Nakladatelství Lidové noviny, Praha 2001.</w:t>
            </w:r>
          </w:p>
          <w:p w14:paraId="2A7DAFD4" w14:textId="77777777" w:rsidR="00551F51" w:rsidRPr="00613B79" w:rsidRDefault="00551F51" w:rsidP="00551F51">
            <w:pPr>
              <w:spacing w:line="259" w:lineRule="auto"/>
            </w:pPr>
            <w:r w:rsidRPr="00613B79">
              <w:t xml:space="preserve">Bauer, Alois, </w:t>
            </w:r>
            <w:r w:rsidRPr="00613B79">
              <w:rPr>
                <w:i/>
              </w:rPr>
              <w:t>Dějiny výtvarného umění</w:t>
            </w:r>
            <w:r w:rsidRPr="00613B79">
              <w:t>, Rubico, Olomouc 2011.</w:t>
            </w:r>
          </w:p>
          <w:p w14:paraId="32CF32AE" w14:textId="77777777" w:rsidR="00551F51" w:rsidRDefault="00551F51" w:rsidP="00551F51">
            <w:pPr>
              <w:rPr>
                <w:rFonts w:ascii="Calibri" w:hAnsi="Calibri" w:cs="Calibri"/>
              </w:rPr>
            </w:pPr>
            <w:r w:rsidRPr="00613B79">
              <w:t xml:space="preserve">Macura, Vladimír, </w:t>
            </w:r>
            <w:r w:rsidRPr="00613B79">
              <w:rPr>
                <w:i/>
              </w:rPr>
              <w:t>Šťastný věk (a jiné eseje o socialistické kulturě)</w:t>
            </w:r>
            <w:r w:rsidRPr="00613B79">
              <w:t>, Academia, Praha 2008</w:t>
            </w:r>
          </w:p>
          <w:p w14:paraId="51D80ECF" w14:textId="77777777" w:rsidR="00EB59AF" w:rsidRPr="00714366" w:rsidRDefault="00EB59AF" w:rsidP="00714366">
            <w:pPr>
              <w:rPr>
                <w:rFonts w:ascii="Calibri" w:hAnsi="Calibri" w:cs="Calibri"/>
              </w:rPr>
            </w:pPr>
          </w:p>
        </w:tc>
      </w:tr>
    </w:tbl>
    <w:p w14:paraId="32F4BF1C" w14:textId="77777777" w:rsidR="00F117E5" w:rsidRDefault="00F117E5" w:rsidP="00714366"/>
    <w:sectPr w:rsidR="00F117E5"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FC6D" w14:textId="77777777" w:rsidR="007C2661" w:rsidRDefault="007C2661" w:rsidP="00714366">
      <w:pPr>
        <w:spacing w:after="0" w:line="240" w:lineRule="auto"/>
      </w:pPr>
      <w:r>
        <w:separator/>
      </w:r>
    </w:p>
  </w:endnote>
  <w:endnote w:type="continuationSeparator" w:id="0">
    <w:p w14:paraId="33B2D617" w14:textId="77777777" w:rsidR="007C2661" w:rsidRDefault="007C2661"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4492" w14:textId="77777777" w:rsidR="007C2661" w:rsidRDefault="007C2661" w:rsidP="00714366">
      <w:pPr>
        <w:spacing w:after="0" w:line="240" w:lineRule="auto"/>
      </w:pPr>
      <w:r>
        <w:separator/>
      </w:r>
    </w:p>
  </w:footnote>
  <w:footnote w:type="continuationSeparator" w:id="0">
    <w:p w14:paraId="3073B20D" w14:textId="77777777" w:rsidR="007C2661" w:rsidRDefault="007C2661" w:rsidP="00714366">
      <w:pPr>
        <w:spacing w:after="0" w:line="240" w:lineRule="auto"/>
      </w:pPr>
      <w:r>
        <w:continuationSeparator/>
      </w:r>
    </w:p>
  </w:footnote>
  <w:footnote w:id="1">
    <w:p w14:paraId="17FDD663" w14:textId="77777777" w:rsidR="00551F51" w:rsidRDefault="007254DF"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BA,</w:t>
      </w:r>
      <w:r w:rsidR="00C64195">
        <w:rPr>
          <w:sz w:val="20"/>
          <w:szCs w:val="20"/>
        </w:rPr>
        <w:t xml:space="preserve"> MA</w:t>
      </w:r>
    </w:p>
    <w:p w14:paraId="0016578E" w14:textId="77777777" w:rsidR="007254DF" w:rsidRPr="00D12733" w:rsidRDefault="00C64195" w:rsidP="007E09CB">
      <w:pPr>
        <w:spacing w:after="0" w:line="240" w:lineRule="auto"/>
        <w:jc w:val="both"/>
        <w:rPr>
          <w:sz w:val="20"/>
          <w:szCs w:val="20"/>
          <w:lang w:val="hr-HR"/>
        </w:rPr>
      </w:pPr>
      <w:r>
        <w:rPr>
          <w:sz w:val="20"/>
          <w:szCs w:val="20"/>
        </w:rPr>
        <w:t>, PhD; 2</w:t>
      </w:r>
      <w:r w:rsidRPr="00C64195">
        <w:rPr>
          <w:sz w:val="20"/>
          <w:szCs w:val="20"/>
          <w:vertAlign w:val="superscript"/>
        </w:rPr>
        <w:t>nd</w:t>
      </w:r>
      <w:r>
        <w:rPr>
          <w:sz w:val="20"/>
          <w:szCs w:val="20"/>
        </w:rPr>
        <w:t xml:space="preserve"> </w:t>
      </w:r>
      <w:r w:rsidR="007254DF" w:rsidRPr="00D12733">
        <w:rPr>
          <w:sz w:val="20"/>
          <w:szCs w:val="20"/>
        </w:rPr>
        <w:t>year</w:t>
      </w:r>
      <w:r>
        <w:rPr>
          <w:sz w:val="20"/>
          <w:szCs w:val="20"/>
        </w:rPr>
        <w:t xml:space="preserve"> …</w:t>
      </w:r>
    </w:p>
  </w:footnote>
  <w:footnote w:id="2">
    <w:p w14:paraId="74298FEA"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79830016" w14:textId="77777777" w:rsidR="00C64195" w:rsidRPr="00C64195" w:rsidRDefault="00C64195" w:rsidP="007E09CB">
      <w:pPr>
        <w:pStyle w:val="FootnoteText"/>
        <w:jc w:val="both"/>
        <w:rPr>
          <w:lang w:val="hr-HR"/>
        </w:rPr>
      </w:pPr>
      <w:r>
        <w:rPr>
          <w:rStyle w:val="FootnoteReference"/>
        </w:rPr>
        <w:footnoteRef/>
      </w:r>
      <w:r>
        <w:t xml:space="preserve"> Teaching language according to </w:t>
      </w:r>
      <w:r w:rsidR="007E09CB">
        <w:t>the regular</w:t>
      </w:r>
      <w:r>
        <w:t xml:space="preserve"> programme (e.g. Croatian, French, Slovenian…)</w:t>
      </w:r>
    </w:p>
  </w:footnote>
  <w:footnote w:id="4">
    <w:p w14:paraId="31A75231" w14:textId="77777777" w:rsidR="007254DF" w:rsidRPr="00D12733" w:rsidRDefault="007254DF" w:rsidP="007E09CB">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7B08E190" w14:textId="77777777" w:rsidR="00BC2B7F" w:rsidRPr="00D12733" w:rsidRDefault="00BC2B7F" w:rsidP="007E09CB">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1EC24142" w14:textId="77777777" w:rsidR="00C64195" w:rsidRDefault="00BC2B7F" w:rsidP="007E09CB">
      <w:pPr>
        <w:pStyle w:val="FootnoteText"/>
        <w:jc w:val="both"/>
      </w:pPr>
      <w:r w:rsidRPr="00D12733">
        <w:rPr>
          <w:rStyle w:val="FootnoteReference"/>
        </w:rPr>
        <w:footnoteRef/>
      </w:r>
      <w:r w:rsidR="00C64195">
        <w:t xml:space="preserve"> </w:t>
      </w:r>
      <w:r w:rsidR="00C64195" w:rsidRPr="00D933EA">
        <w:rPr>
          <w:b/>
        </w:rPr>
        <w:t>Language options for guest (exchange) students):</w:t>
      </w:r>
    </w:p>
    <w:p w14:paraId="1D4E42D7" w14:textId="77777777" w:rsidR="00D12733" w:rsidRPr="00D12733" w:rsidRDefault="00D12733"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w:t>
      </w:r>
      <w:r w:rsidR="00CD030E" w:rsidRPr="00D06704">
        <w:t xml:space="preserve"> (indicated as teaching language</w:t>
      </w:r>
      <w:r w:rsidR="00662550" w:rsidRPr="00D06704">
        <w:t xml:space="preserve"> for guest (exchange) students</w:t>
      </w:r>
      <w:r w:rsidR="00E471DE" w:rsidRPr="00D06704">
        <w:t>)</w:t>
      </w:r>
      <w:r w:rsidR="00662550" w:rsidRPr="00D06704">
        <w:t>,</w:t>
      </w:r>
      <w:r w:rsidRPr="00D06704">
        <w:t xml:space="preserve"> to help master the course materials. Additionally,</w:t>
      </w:r>
      <w:r w:rsidRPr="00D12733">
        <w:t xml:space="preserve"> the lecturer will refer guest (exchange) students to the corresponding literature in foreign </w:t>
      </w:r>
      <w:r w:rsidR="00AB04BF" w:rsidRPr="00D12733">
        <w:t>language</w:t>
      </w:r>
      <w:r w:rsidR="00AB04BF">
        <w:t>,</w:t>
      </w:r>
      <w:r w:rsidRPr="00D12733">
        <w:t xml:space="preserve"> as well as give them the possibility of taking the associated exams in foreign language.</w:t>
      </w:r>
    </w:p>
    <w:p w14:paraId="5E66FEFB" w14:textId="77777777" w:rsidR="00BC2B7F" w:rsidRPr="00D12733" w:rsidRDefault="00D12733" w:rsidP="007E09CB">
      <w:pPr>
        <w:pStyle w:val="FootnoteText"/>
        <w:jc w:val="both"/>
        <w:rPr>
          <w:lang w:val="hr-HR"/>
        </w:rPr>
      </w:pPr>
      <w:r w:rsidRPr="00D12733">
        <w:t>L2 - All teaching activities will be held</w:t>
      </w:r>
      <w:r w:rsidR="00C64195">
        <w:t xml:space="preserve"> </w:t>
      </w:r>
      <w:r w:rsidR="00C64195" w:rsidRPr="00D12733">
        <w:t>in</w:t>
      </w:r>
      <w:r w:rsidRPr="00D12733">
        <w:t xml:space="preserve"> regular teaching language</w:t>
      </w:r>
      <w:r w:rsidR="00C64195">
        <w:t xml:space="preserve"> only</w:t>
      </w:r>
      <w:r w:rsidRPr="00D12733">
        <w:t>.</w:t>
      </w:r>
    </w:p>
  </w:footnote>
  <w:footnote w:id="7">
    <w:p w14:paraId="3050CAF6" w14:textId="77777777" w:rsidR="00D12733" w:rsidRPr="00D12733" w:rsidRDefault="00D12733"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268708CC" w14:textId="77777777" w:rsidR="00D12733" w:rsidRPr="00D12733" w:rsidRDefault="00D12733"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25695440" w14:textId="77777777" w:rsidR="00D12733" w:rsidRPr="00D12733" w:rsidRDefault="00D12733" w:rsidP="007E09CB">
      <w:pPr>
        <w:spacing w:after="0" w:line="240" w:lineRule="auto"/>
        <w:jc w:val="both"/>
        <w:rPr>
          <w:sz w:val="20"/>
          <w:szCs w:val="20"/>
        </w:rPr>
      </w:pPr>
      <w:r w:rsidRPr="00D12733">
        <w:rPr>
          <w:sz w:val="20"/>
          <w:szCs w:val="20"/>
        </w:rPr>
        <w:t xml:space="preserve">Additional: </w:t>
      </w:r>
    </w:p>
    <w:p w14:paraId="54D1E26E" w14:textId="77777777" w:rsidR="00D12733" w:rsidRPr="00D12733" w:rsidRDefault="00D12733" w:rsidP="007E09CB">
      <w:pPr>
        <w:spacing w:after="0" w:line="240" w:lineRule="auto"/>
        <w:jc w:val="both"/>
        <w:rPr>
          <w:sz w:val="20"/>
          <w:szCs w:val="20"/>
        </w:rPr>
      </w:pPr>
      <w:r w:rsidRPr="00D12733">
        <w:rPr>
          <w:sz w:val="20"/>
          <w:szCs w:val="20"/>
        </w:rPr>
        <w:t>RA - Regular Attendance (No ECTS credits awarded for course attendance only)</w:t>
      </w:r>
    </w:p>
    <w:p w14:paraId="12E8853C" w14:textId="77777777" w:rsidR="00D12733" w:rsidRPr="00D12733" w:rsidRDefault="00D12733" w:rsidP="007E09CB">
      <w:pPr>
        <w:spacing w:after="0" w:line="240" w:lineRule="auto"/>
        <w:jc w:val="both"/>
        <w:rPr>
          <w:sz w:val="20"/>
          <w:szCs w:val="20"/>
        </w:rPr>
      </w:pPr>
      <w:r w:rsidRPr="00D12733">
        <w:rPr>
          <w:sz w:val="20"/>
          <w:szCs w:val="20"/>
        </w:rPr>
        <w:t>C - Completed (Student has completed proscribed obligations/no ECTS credits awarded)</w:t>
      </w:r>
    </w:p>
    <w:p w14:paraId="7D4BF827" w14:textId="77777777" w:rsidR="00D12733" w:rsidRPr="00D12733" w:rsidRDefault="00D12733" w:rsidP="007E09CB">
      <w:pPr>
        <w:spacing w:after="0" w:line="240" w:lineRule="auto"/>
        <w:jc w:val="both"/>
        <w:rPr>
          <w:sz w:val="20"/>
          <w:szCs w:val="20"/>
        </w:rPr>
      </w:pPr>
      <w:r w:rsidRPr="00D12733">
        <w:rPr>
          <w:sz w:val="20"/>
          <w:szCs w:val="20"/>
        </w:rPr>
        <w:t>C+ – Completed + ECTS (Student has completed proscribed obligations + ECTS credits awarded)</w:t>
      </w:r>
    </w:p>
    <w:p w14:paraId="667BFA8F" w14:textId="77777777" w:rsidR="00D12733" w:rsidRPr="00D12733" w:rsidRDefault="00D12733">
      <w:pPr>
        <w:pStyle w:val="FootnoteText"/>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17AD3"/>
    <w:multiLevelType w:val="hybridMultilevel"/>
    <w:tmpl w:val="055CE3B4"/>
    <w:lvl w:ilvl="0" w:tplc="E014EDD0">
      <w:start w:val="1"/>
      <w:numFmt w:val="decimal"/>
      <w:lvlText w:val="%1."/>
      <w:lvlJc w:val="left"/>
      <w:pPr>
        <w:ind w:left="720" w:hanging="360"/>
      </w:pPr>
      <w:rPr>
        <w:rFonts w:ascii="Helvetica" w:hAnsi="Helvetica" w:cs="Helvetica" w:hint="default"/>
        <w:color w:val="32323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66"/>
    <w:rsid w:val="00034999"/>
    <w:rsid w:val="0007245F"/>
    <w:rsid w:val="00081F39"/>
    <w:rsid w:val="0009279C"/>
    <w:rsid w:val="00120BC5"/>
    <w:rsid w:val="001325C1"/>
    <w:rsid w:val="00195BAC"/>
    <w:rsid w:val="00230887"/>
    <w:rsid w:val="00297469"/>
    <w:rsid w:val="003804F7"/>
    <w:rsid w:val="00381EEA"/>
    <w:rsid w:val="003B1E7C"/>
    <w:rsid w:val="003E03D6"/>
    <w:rsid w:val="00435AA1"/>
    <w:rsid w:val="00465279"/>
    <w:rsid w:val="004D6809"/>
    <w:rsid w:val="00525147"/>
    <w:rsid w:val="005267AB"/>
    <w:rsid w:val="00551F51"/>
    <w:rsid w:val="005860DF"/>
    <w:rsid w:val="005D7B91"/>
    <w:rsid w:val="0062222F"/>
    <w:rsid w:val="00662550"/>
    <w:rsid w:val="00675172"/>
    <w:rsid w:val="00714366"/>
    <w:rsid w:val="007254DF"/>
    <w:rsid w:val="00766CA5"/>
    <w:rsid w:val="007C2661"/>
    <w:rsid w:val="007E09CB"/>
    <w:rsid w:val="008C1AD0"/>
    <w:rsid w:val="008D1397"/>
    <w:rsid w:val="009047B0"/>
    <w:rsid w:val="0092582F"/>
    <w:rsid w:val="009506B4"/>
    <w:rsid w:val="00966206"/>
    <w:rsid w:val="00966E70"/>
    <w:rsid w:val="009C6004"/>
    <w:rsid w:val="009E6862"/>
    <w:rsid w:val="00A01504"/>
    <w:rsid w:val="00AA71C8"/>
    <w:rsid w:val="00AB04BF"/>
    <w:rsid w:val="00AC000C"/>
    <w:rsid w:val="00AD64A3"/>
    <w:rsid w:val="00B1088D"/>
    <w:rsid w:val="00B92A50"/>
    <w:rsid w:val="00BC2B7F"/>
    <w:rsid w:val="00C122B0"/>
    <w:rsid w:val="00C64195"/>
    <w:rsid w:val="00CD030E"/>
    <w:rsid w:val="00D00AF0"/>
    <w:rsid w:val="00D06704"/>
    <w:rsid w:val="00D12733"/>
    <w:rsid w:val="00D933EA"/>
    <w:rsid w:val="00E13AFC"/>
    <w:rsid w:val="00E177D4"/>
    <w:rsid w:val="00E203E8"/>
    <w:rsid w:val="00E471DE"/>
    <w:rsid w:val="00EB59AF"/>
    <w:rsid w:val="00EF3067"/>
    <w:rsid w:val="00F117E5"/>
    <w:rsid w:val="00F12CE3"/>
    <w:rsid w:val="00F24889"/>
    <w:rsid w:val="00F37950"/>
    <w:rsid w:val="00F777E3"/>
    <w:rsid w:val="00F9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2AEC"/>
  <w15:docId w15:val="{466C565F-6F51-4EB9-BD85-FE22D8B1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paragraph" w:styleId="ListParagraph">
    <w:name w:val="List Paragraph"/>
    <w:basedOn w:val="Normal"/>
    <w:uiPriority w:val="34"/>
    <w:qFormat/>
    <w:rsid w:val="00D00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E17E-8CA2-413D-B0DB-95EF475A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Matija Ivačić</cp:lastModifiedBy>
  <cp:revision>5</cp:revision>
  <cp:lastPrinted>2019-02-18T13:08:00Z</cp:lastPrinted>
  <dcterms:created xsi:type="dcterms:W3CDTF">2019-03-01T14:04:00Z</dcterms:created>
  <dcterms:modified xsi:type="dcterms:W3CDTF">2026-02-12T09:39:00Z</dcterms:modified>
</cp:coreProperties>
</file>