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D6EE" w14:textId="77777777" w:rsidR="00AA3BAD" w:rsidRDefault="00AA3BAD" w:rsidP="00ED0220">
      <w:pPr>
        <w:spacing w:line="240" w:lineRule="auto"/>
      </w:pPr>
    </w:p>
    <w:tbl>
      <w:tblPr>
        <w:tblStyle w:val="TableGrid"/>
        <w:tblpPr w:leftFromText="180" w:rightFromText="180" w:horzAnchor="margin" w:tblpY="885"/>
        <w:tblW w:w="9397" w:type="dxa"/>
        <w:tblCellMar>
          <w:left w:w="103" w:type="dxa"/>
        </w:tblCellMar>
        <w:tblLook w:val="04A0" w:firstRow="1" w:lastRow="0" w:firstColumn="1" w:lastColumn="0" w:noHBand="0" w:noVBand="1"/>
      </w:tblPr>
      <w:tblGrid>
        <w:gridCol w:w="3132"/>
        <w:gridCol w:w="3132"/>
        <w:gridCol w:w="3133"/>
      </w:tblGrid>
      <w:tr w:rsidR="00AA3BAD" w14:paraId="2FC3A694" w14:textId="77777777">
        <w:tc>
          <w:tcPr>
            <w:tcW w:w="9397" w:type="dxa"/>
            <w:gridSpan w:val="3"/>
            <w:shd w:val="clear" w:color="auto" w:fill="auto"/>
            <w:tcMar>
              <w:left w:w="103" w:type="dxa"/>
            </w:tcMar>
          </w:tcPr>
          <w:p w14:paraId="04403F28" w14:textId="21C8CA9D" w:rsidR="00AA3BAD" w:rsidRDefault="00FB0D23" w:rsidP="00ED0220">
            <w:pPr>
              <w:spacing w:after="0" w:line="240" w:lineRule="auto"/>
            </w:pPr>
            <w:r>
              <w:rPr>
                <w:rFonts w:cs="Calibri"/>
              </w:rPr>
              <w:t>STUDY PROGRAMME: Polish Language and Literature</w:t>
            </w:r>
            <w:r w:rsidR="00131478">
              <w:rPr>
                <w:rFonts w:cs="Calibri"/>
              </w:rPr>
              <w:t xml:space="preserve"> (double major)</w:t>
            </w:r>
          </w:p>
        </w:tc>
      </w:tr>
      <w:tr w:rsidR="00AA3BAD" w14:paraId="756504CD" w14:textId="77777777">
        <w:tc>
          <w:tcPr>
            <w:tcW w:w="9397" w:type="dxa"/>
            <w:gridSpan w:val="3"/>
            <w:shd w:val="clear" w:color="auto" w:fill="auto"/>
            <w:tcMar>
              <w:left w:w="103" w:type="dxa"/>
            </w:tcMar>
          </w:tcPr>
          <w:p w14:paraId="7FDA5111" w14:textId="77777777" w:rsidR="00AA3BAD" w:rsidRDefault="00FB0D23" w:rsidP="00ED0220">
            <w:pPr>
              <w:spacing w:after="0" w:line="240" w:lineRule="auto"/>
            </w:pPr>
            <w:r>
              <w:rPr>
                <w:rFonts w:cs="Calibri"/>
              </w:rPr>
              <w:t>Level and Year</w:t>
            </w:r>
            <w:r>
              <w:rPr>
                <w:rStyle w:val="FootnoteAnchor"/>
                <w:rFonts w:cs="Calibri"/>
              </w:rPr>
              <w:footnoteReference w:id="1"/>
            </w:r>
            <w:r>
              <w:rPr>
                <w:rFonts w:cs="Calibri"/>
              </w:rPr>
              <w:t xml:space="preserve">: </w:t>
            </w:r>
            <w:r>
              <w:rPr>
                <w:rFonts w:cs="Calibri"/>
                <w:color w:val="FF0000"/>
              </w:rPr>
              <w:t xml:space="preserve"> </w:t>
            </w:r>
            <w:r w:rsidR="00454BBA" w:rsidRPr="00754573">
              <w:rPr>
                <w:rFonts w:cs="Calibri"/>
                <w:color w:val="FF0000"/>
              </w:rPr>
              <w:t xml:space="preserve"> MA, 1</w:t>
            </w:r>
            <w:r w:rsidR="00454BBA" w:rsidRPr="00754573">
              <w:rPr>
                <w:rFonts w:cs="Calibri"/>
                <w:color w:val="FF0000"/>
                <w:vertAlign w:val="superscript"/>
              </w:rPr>
              <w:t>st</w:t>
            </w:r>
            <w:r w:rsidR="00454BBA" w:rsidRPr="00754573">
              <w:rPr>
                <w:rFonts w:cs="Calibri"/>
                <w:color w:val="FF0000"/>
              </w:rPr>
              <w:t xml:space="preserve"> year</w:t>
            </w:r>
          </w:p>
        </w:tc>
      </w:tr>
      <w:tr w:rsidR="00AA3BAD" w14:paraId="338B7B5F" w14:textId="77777777">
        <w:tc>
          <w:tcPr>
            <w:tcW w:w="9397" w:type="dxa"/>
            <w:gridSpan w:val="3"/>
            <w:shd w:val="clear" w:color="auto" w:fill="auto"/>
            <w:tcMar>
              <w:left w:w="103" w:type="dxa"/>
            </w:tcMar>
          </w:tcPr>
          <w:p w14:paraId="3F762C3A" w14:textId="77777777" w:rsidR="00AA3BAD" w:rsidRDefault="00FB0D23" w:rsidP="00ED0220">
            <w:pPr>
              <w:spacing w:after="0" w:line="240" w:lineRule="auto"/>
            </w:pPr>
            <w:r>
              <w:rPr>
                <w:rFonts w:cs="Calibri"/>
              </w:rPr>
              <w:t xml:space="preserve">Course Title: </w:t>
            </w:r>
            <w:r w:rsidR="00454BBA" w:rsidRPr="00754573">
              <w:rPr>
                <w:rFonts w:cs="Calibri"/>
              </w:rPr>
              <w:t xml:space="preserve"> Polish Drama and Theatre</w:t>
            </w:r>
          </w:p>
        </w:tc>
      </w:tr>
      <w:tr w:rsidR="00AA3BAD" w14:paraId="2F76CBA8" w14:textId="77777777">
        <w:tc>
          <w:tcPr>
            <w:tcW w:w="9397" w:type="dxa"/>
            <w:gridSpan w:val="3"/>
            <w:shd w:val="clear" w:color="auto" w:fill="auto"/>
            <w:tcMar>
              <w:left w:w="103" w:type="dxa"/>
            </w:tcMar>
          </w:tcPr>
          <w:p w14:paraId="0908BE3C" w14:textId="77777777" w:rsidR="00AA3BAD" w:rsidRPr="00ED0220" w:rsidRDefault="00FB0D23" w:rsidP="00ED0220">
            <w:pPr>
              <w:spacing w:line="240" w:lineRule="auto"/>
              <w:rPr>
                <w:rFonts w:eastAsia="Times New Roman" w:cs="Times New Roman"/>
                <w:lang w:eastAsia="hr-HR"/>
              </w:rPr>
            </w:pPr>
            <w:r>
              <w:rPr>
                <w:rFonts w:cs="Calibri"/>
              </w:rPr>
              <w:t xml:space="preserve">Course Description: </w:t>
            </w:r>
            <w:r w:rsidR="00454BBA" w:rsidRPr="00754573">
              <w:rPr>
                <w:rStyle w:val="EndnoteCharacters"/>
              </w:rPr>
              <w:t xml:space="preserve"> </w:t>
            </w:r>
            <w:r w:rsidR="00454BBA" w:rsidRPr="00754573">
              <w:rPr>
                <w:rStyle w:val="tlid-translation"/>
              </w:rPr>
              <w:t>The course introduces students to the basic aspects and phenomena of Polish drama and theatre that have considerably reflected deep political-ideological or broader, worldview-based changes within the core cultural context, thus enabling them not only to facilitate orientation within that tradition, but also in general in the resolution of Polish cultural codes.</w:t>
            </w:r>
          </w:p>
        </w:tc>
      </w:tr>
      <w:tr w:rsidR="00AA3BAD" w14:paraId="0563A319" w14:textId="77777777">
        <w:tc>
          <w:tcPr>
            <w:tcW w:w="9397" w:type="dxa"/>
            <w:gridSpan w:val="3"/>
            <w:shd w:val="clear" w:color="auto" w:fill="auto"/>
            <w:tcMar>
              <w:left w:w="103" w:type="dxa"/>
            </w:tcMar>
          </w:tcPr>
          <w:p w14:paraId="7B6FA6EC" w14:textId="77777777" w:rsidR="00AA3BAD" w:rsidRDefault="00FB0D23" w:rsidP="00ED0220">
            <w:pPr>
              <w:spacing w:after="0" w:line="240" w:lineRule="auto"/>
            </w:pPr>
            <w:r>
              <w:rPr>
                <w:rFonts w:cs="Calibri"/>
              </w:rPr>
              <w:t>Semester</w:t>
            </w:r>
            <w:r>
              <w:rPr>
                <w:rStyle w:val="FootnoteAnchor"/>
                <w:rFonts w:cs="Calibri"/>
              </w:rPr>
              <w:footnoteReference w:id="2"/>
            </w:r>
            <w:r>
              <w:rPr>
                <w:rFonts w:cs="Calibri"/>
              </w:rPr>
              <w:t>:</w:t>
            </w:r>
            <w:r>
              <w:rPr>
                <w:rFonts w:cs="Calibri"/>
                <w:color w:val="FF0000"/>
              </w:rPr>
              <w:t xml:space="preserve"> </w:t>
            </w:r>
            <w:r w:rsidR="00454BBA" w:rsidRPr="00754573">
              <w:rPr>
                <w:rFonts w:cs="Calibri"/>
                <w:color w:val="FF0000"/>
              </w:rPr>
              <w:t xml:space="preserve"> Summer</w:t>
            </w:r>
            <w:r w:rsidR="00454BBA">
              <w:rPr>
                <w:rFonts w:cs="Calibri"/>
                <w:color w:val="FF0000"/>
              </w:rPr>
              <w:t xml:space="preserve"> </w:t>
            </w:r>
            <w:r>
              <w:rPr>
                <w:rFonts w:cs="Calibri"/>
                <w:color w:val="FF0000"/>
              </w:rPr>
              <w:t>semester</w:t>
            </w:r>
          </w:p>
        </w:tc>
      </w:tr>
      <w:tr w:rsidR="00AA3BAD" w:rsidRPr="00454BBA" w14:paraId="4AA4CD15" w14:textId="77777777">
        <w:tc>
          <w:tcPr>
            <w:tcW w:w="9397" w:type="dxa"/>
            <w:gridSpan w:val="3"/>
            <w:shd w:val="clear" w:color="auto" w:fill="auto"/>
            <w:tcMar>
              <w:left w:w="103" w:type="dxa"/>
            </w:tcMar>
          </w:tcPr>
          <w:p w14:paraId="5A74B732" w14:textId="36D53396" w:rsidR="00AA3BAD" w:rsidRPr="00454BBA" w:rsidRDefault="00FB0D23" w:rsidP="00ED0220">
            <w:pPr>
              <w:spacing w:line="240" w:lineRule="auto"/>
              <w:ind w:left="1410" w:hanging="1410"/>
              <w:rPr>
                <w:lang w:val="en-GB"/>
              </w:rPr>
            </w:pPr>
            <w:r w:rsidRPr="00454BBA">
              <w:rPr>
                <w:rFonts w:cs="Calibri"/>
              </w:rPr>
              <w:t xml:space="preserve">Lecturer(s)/Teacher(s): </w:t>
            </w:r>
            <w:r w:rsidR="00454BBA" w:rsidRPr="00754573">
              <w:rPr>
                <w:rFonts w:cs="Calibri"/>
              </w:rPr>
              <w:t xml:space="preserve"> </w:t>
            </w:r>
            <w:r w:rsidR="00131478">
              <w:rPr>
                <w:rFonts w:cs="Calibri"/>
              </w:rPr>
              <w:t>Małgorzata Vražić</w:t>
            </w:r>
            <w:r w:rsidR="00454BBA" w:rsidRPr="00754573">
              <w:rPr>
                <w:rFonts w:cs="Calibri"/>
              </w:rPr>
              <w:t xml:space="preserve">, </w:t>
            </w:r>
            <w:r w:rsidR="00454BBA" w:rsidRPr="00754573">
              <w:rPr>
                <w:lang w:val="en-GB"/>
              </w:rPr>
              <w:t xml:space="preserve"> PhD, </w:t>
            </w:r>
            <w:r w:rsidR="00131478">
              <w:rPr>
                <w:lang w:val="en-GB"/>
              </w:rPr>
              <w:t>Lector</w:t>
            </w:r>
          </w:p>
        </w:tc>
      </w:tr>
      <w:tr w:rsidR="00AA3BAD" w14:paraId="0C0A484D" w14:textId="77777777">
        <w:tc>
          <w:tcPr>
            <w:tcW w:w="9397" w:type="dxa"/>
            <w:gridSpan w:val="3"/>
            <w:shd w:val="clear" w:color="auto" w:fill="auto"/>
            <w:tcMar>
              <w:left w:w="103" w:type="dxa"/>
            </w:tcMar>
          </w:tcPr>
          <w:p w14:paraId="2F5C8941" w14:textId="77777777" w:rsidR="00AA3BAD" w:rsidRDefault="00FB0D23" w:rsidP="00ED0220">
            <w:pPr>
              <w:spacing w:after="0" w:line="240" w:lineRule="auto"/>
            </w:pPr>
            <w:r>
              <w:rPr>
                <w:rFonts w:cs="Calibri"/>
              </w:rPr>
              <w:t>Teaching Language (regular)</w:t>
            </w:r>
            <w:r>
              <w:rPr>
                <w:rStyle w:val="FootnoteAnchor"/>
                <w:rFonts w:cs="Calibri"/>
              </w:rPr>
              <w:footnoteReference w:id="3"/>
            </w:r>
            <w:r>
              <w:rPr>
                <w:rFonts w:cs="Calibri"/>
              </w:rPr>
              <w:t>: Polish and Croatian</w:t>
            </w:r>
          </w:p>
        </w:tc>
      </w:tr>
      <w:tr w:rsidR="00AA3BAD" w14:paraId="4EC7835D" w14:textId="77777777">
        <w:tc>
          <w:tcPr>
            <w:tcW w:w="9397" w:type="dxa"/>
            <w:gridSpan w:val="3"/>
            <w:shd w:val="clear" w:color="auto" w:fill="auto"/>
            <w:tcMar>
              <w:left w:w="103" w:type="dxa"/>
            </w:tcMar>
          </w:tcPr>
          <w:p w14:paraId="0184629B" w14:textId="77777777" w:rsidR="00AA3BAD" w:rsidRPr="00ED0220" w:rsidRDefault="00FB0D23" w:rsidP="00ED0220">
            <w:pPr>
              <w:spacing w:line="240" w:lineRule="auto"/>
              <w:rPr>
                <w:rFonts w:cs="Calibri"/>
              </w:rPr>
            </w:pPr>
            <w:r>
              <w:rPr>
                <w:rFonts w:cs="Calibri"/>
              </w:rPr>
              <w:t>Teaching Methods (regular):</w:t>
            </w:r>
            <w:r>
              <w:rPr>
                <w:rStyle w:val="FootnoteAnchor"/>
                <w:rFonts w:cs="Calibri"/>
              </w:rPr>
              <w:footnoteReference w:id="4"/>
            </w:r>
            <w:r>
              <w:rPr>
                <w:rFonts w:cs="Calibri"/>
              </w:rPr>
              <w:t xml:space="preserve"> </w:t>
            </w:r>
            <w:r w:rsidR="00454BBA" w:rsidRPr="00754573">
              <w:rPr>
                <w:rFonts w:cs="Calibri"/>
              </w:rPr>
              <w:t xml:space="preserve"> teaching through lectures/seminars; Presentations; Classroom discussion; E-Learning</w:t>
            </w:r>
          </w:p>
        </w:tc>
      </w:tr>
      <w:tr w:rsidR="00AA3BAD" w14:paraId="7074C9A1" w14:textId="77777777">
        <w:tc>
          <w:tcPr>
            <w:tcW w:w="3132" w:type="dxa"/>
            <w:shd w:val="clear" w:color="auto" w:fill="auto"/>
            <w:tcMar>
              <w:left w:w="103" w:type="dxa"/>
            </w:tcMar>
          </w:tcPr>
          <w:p w14:paraId="57076352" w14:textId="77777777" w:rsidR="00AA3BAD" w:rsidRDefault="00FB0D23" w:rsidP="00ED0220">
            <w:pPr>
              <w:spacing w:after="0" w:line="240" w:lineRule="auto"/>
              <w:rPr>
                <w:rFonts w:ascii="Calibri" w:hAnsi="Calibri" w:cs="Calibri"/>
              </w:rPr>
            </w:pPr>
            <w:r>
              <w:rPr>
                <w:rFonts w:cs="Calibri"/>
              </w:rPr>
              <w:t>Teaching:</w:t>
            </w:r>
          </w:p>
        </w:tc>
        <w:tc>
          <w:tcPr>
            <w:tcW w:w="3132" w:type="dxa"/>
            <w:shd w:val="clear" w:color="auto" w:fill="auto"/>
            <w:tcMar>
              <w:left w:w="103" w:type="dxa"/>
            </w:tcMar>
          </w:tcPr>
          <w:p w14:paraId="517A329B" w14:textId="77777777" w:rsidR="00AA3BAD" w:rsidRDefault="00FB0D23" w:rsidP="00ED0220">
            <w:pPr>
              <w:spacing w:after="0" w:line="240" w:lineRule="auto"/>
              <w:rPr>
                <w:rFonts w:ascii="Calibri" w:hAnsi="Calibri" w:cs="Calibri"/>
              </w:rPr>
            </w:pPr>
            <w:r>
              <w:rPr>
                <w:rFonts w:cs="Calibri"/>
              </w:rPr>
              <w:t>Weekly (hours)</w:t>
            </w:r>
          </w:p>
        </w:tc>
        <w:tc>
          <w:tcPr>
            <w:tcW w:w="3133" w:type="dxa"/>
            <w:shd w:val="clear" w:color="auto" w:fill="auto"/>
            <w:tcMar>
              <w:left w:w="103" w:type="dxa"/>
            </w:tcMar>
          </w:tcPr>
          <w:p w14:paraId="57F43AC6" w14:textId="77777777" w:rsidR="00AA3BAD" w:rsidRDefault="00FB0D23" w:rsidP="00ED0220">
            <w:pPr>
              <w:spacing w:after="0" w:line="240" w:lineRule="auto"/>
              <w:rPr>
                <w:rFonts w:ascii="Calibri" w:hAnsi="Calibri" w:cs="Calibri"/>
              </w:rPr>
            </w:pPr>
            <w:r>
              <w:rPr>
                <w:rFonts w:cs="Calibri"/>
              </w:rPr>
              <w:t>Semester (hours)</w:t>
            </w:r>
          </w:p>
          <w:p w14:paraId="4F7FAF4C" w14:textId="77777777" w:rsidR="00AA3BAD" w:rsidRDefault="00AA3BAD" w:rsidP="00ED0220">
            <w:pPr>
              <w:spacing w:after="0" w:line="240" w:lineRule="auto"/>
              <w:rPr>
                <w:rFonts w:ascii="Calibri" w:hAnsi="Calibri" w:cs="Calibri"/>
              </w:rPr>
            </w:pPr>
          </w:p>
        </w:tc>
      </w:tr>
      <w:tr w:rsidR="00AA3BAD" w14:paraId="128A9D0D" w14:textId="77777777">
        <w:tc>
          <w:tcPr>
            <w:tcW w:w="3132" w:type="dxa"/>
            <w:shd w:val="clear" w:color="auto" w:fill="auto"/>
            <w:tcMar>
              <w:left w:w="103" w:type="dxa"/>
            </w:tcMar>
          </w:tcPr>
          <w:p w14:paraId="4B680938" w14:textId="77777777" w:rsidR="00AA3BAD" w:rsidRDefault="00FB0D23" w:rsidP="00ED0220">
            <w:pPr>
              <w:spacing w:after="0" w:line="240" w:lineRule="auto"/>
              <w:rPr>
                <w:rFonts w:ascii="Calibri" w:hAnsi="Calibri" w:cs="Calibri"/>
              </w:rPr>
            </w:pPr>
            <w:r>
              <w:rPr>
                <w:rFonts w:cs="Calibri"/>
              </w:rPr>
              <w:t>Lectures:</w:t>
            </w:r>
          </w:p>
        </w:tc>
        <w:tc>
          <w:tcPr>
            <w:tcW w:w="3132" w:type="dxa"/>
            <w:shd w:val="clear" w:color="auto" w:fill="auto"/>
            <w:tcMar>
              <w:left w:w="103" w:type="dxa"/>
            </w:tcMar>
          </w:tcPr>
          <w:p w14:paraId="71367A30" w14:textId="77777777" w:rsidR="00AA3BAD" w:rsidRDefault="00454BBA" w:rsidP="00ED0220">
            <w:pPr>
              <w:spacing w:after="0" w:line="240" w:lineRule="auto"/>
              <w:rPr>
                <w:rFonts w:ascii="Calibri" w:hAnsi="Calibri" w:cs="Calibri"/>
              </w:rPr>
            </w:pPr>
            <w:r>
              <w:rPr>
                <w:rFonts w:cs="Calibri"/>
              </w:rPr>
              <w:t>1</w:t>
            </w:r>
            <w:r w:rsidR="00FB0D23">
              <w:rPr>
                <w:rFonts w:cs="Calibri"/>
              </w:rPr>
              <w:t xml:space="preserve"> hours</w:t>
            </w:r>
          </w:p>
        </w:tc>
        <w:tc>
          <w:tcPr>
            <w:tcW w:w="3133" w:type="dxa"/>
            <w:shd w:val="clear" w:color="auto" w:fill="auto"/>
            <w:tcMar>
              <w:left w:w="103" w:type="dxa"/>
            </w:tcMar>
          </w:tcPr>
          <w:p w14:paraId="51FA8344" w14:textId="77777777" w:rsidR="00AA3BAD" w:rsidRDefault="00454BBA" w:rsidP="00ED0220">
            <w:pPr>
              <w:spacing w:after="0" w:line="240" w:lineRule="auto"/>
              <w:rPr>
                <w:rFonts w:ascii="Calibri" w:hAnsi="Calibri" w:cs="Calibri"/>
              </w:rPr>
            </w:pPr>
            <w:r>
              <w:rPr>
                <w:rFonts w:cs="Calibri"/>
              </w:rPr>
              <w:t>15</w:t>
            </w:r>
            <w:r w:rsidR="00FB0D23">
              <w:rPr>
                <w:rFonts w:cs="Calibri"/>
              </w:rPr>
              <w:t xml:space="preserve"> hours</w:t>
            </w:r>
          </w:p>
        </w:tc>
      </w:tr>
      <w:tr w:rsidR="00AA3BAD" w14:paraId="7BAEA409" w14:textId="77777777">
        <w:tc>
          <w:tcPr>
            <w:tcW w:w="3132" w:type="dxa"/>
            <w:shd w:val="clear" w:color="auto" w:fill="auto"/>
            <w:tcMar>
              <w:left w:w="103" w:type="dxa"/>
            </w:tcMar>
          </w:tcPr>
          <w:p w14:paraId="6AB7AAED" w14:textId="77777777" w:rsidR="00AA3BAD" w:rsidRDefault="00FB0D23" w:rsidP="00ED0220">
            <w:pPr>
              <w:spacing w:after="0" w:line="240" w:lineRule="auto"/>
              <w:rPr>
                <w:rFonts w:ascii="Calibri" w:hAnsi="Calibri" w:cs="Calibri"/>
              </w:rPr>
            </w:pPr>
            <w:r>
              <w:rPr>
                <w:rFonts w:cs="Calibri"/>
              </w:rPr>
              <w:t>Exercises:</w:t>
            </w:r>
          </w:p>
        </w:tc>
        <w:tc>
          <w:tcPr>
            <w:tcW w:w="3132" w:type="dxa"/>
            <w:shd w:val="clear" w:color="auto" w:fill="auto"/>
            <w:tcMar>
              <w:left w:w="103" w:type="dxa"/>
            </w:tcMar>
          </w:tcPr>
          <w:p w14:paraId="23253093" w14:textId="77777777" w:rsidR="00AA3BAD" w:rsidRDefault="00454BBA" w:rsidP="00ED0220">
            <w:pPr>
              <w:spacing w:after="0" w:line="240" w:lineRule="auto"/>
              <w:rPr>
                <w:rFonts w:ascii="Calibri" w:hAnsi="Calibri" w:cs="Calibri"/>
              </w:rPr>
            </w:pPr>
            <w:r>
              <w:rPr>
                <w:rFonts w:cs="Calibri"/>
              </w:rPr>
              <w:t>0</w:t>
            </w:r>
            <w:r w:rsidR="00FB0D23">
              <w:rPr>
                <w:rFonts w:cs="Calibri"/>
              </w:rPr>
              <w:t xml:space="preserve"> hours</w:t>
            </w:r>
          </w:p>
        </w:tc>
        <w:tc>
          <w:tcPr>
            <w:tcW w:w="3133" w:type="dxa"/>
            <w:shd w:val="clear" w:color="auto" w:fill="auto"/>
            <w:tcMar>
              <w:left w:w="103" w:type="dxa"/>
            </w:tcMar>
          </w:tcPr>
          <w:p w14:paraId="64C52F26" w14:textId="77777777" w:rsidR="00AA3BAD" w:rsidRDefault="00454BBA" w:rsidP="00ED0220">
            <w:pPr>
              <w:spacing w:after="0" w:line="240" w:lineRule="auto"/>
              <w:rPr>
                <w:rFonts w:ascii="Calibri" w:hAnsi="Calibri" w:cs="Calibri"/>
              </w:rPr>
            </w:pPr>
            <w:r>
              <w:rPr>
                <w:rFonts w:cs="Calibri"/>
              </w:rPr>
              <w:t>0</w:t>
            </w:r>
            <w:r w:rsidR="00FB0D23">
              <w:rPr>
                <w:rFonts w:cs="Calibri"/>
              </w:rPr>
              <w:t xml:space="preserve"> hours</w:t>
            </w:r>
          </w:p>
        </w:tc>
      </w:tr>
      <w:tr w:rsidR="00AA3BAD" w14:paraId="34A47CB3" w14:textId="77777777">
        <w:tc>
          <w:tcPr>
            <w:tcW w:w="3132" w:type="dxa"/>
            <w:shd w:val="clear" w:color="auto" w:fill="auto"/>
            <w:tcMar>
              <w:left w:w="103" w:type="dxa"/>
            </w:tcMar>
          </w:tcPr>
          <w:p w14:paraId="75D7E84D" w14:textId="77777777" w:rsidR="00AA3BAD" w:rsidRDefault="00FB0D23" w:rsidP="00ED0220">
            <w:pPr>
              <w:spacing w:after="0" w:line="240" w:lineRule="auto"/>
              <w:rPr>
                <w:rFonts w:ascii="Calibri" w:hAnsi="Calibri" w:cs="Calibri"/>
              </w:rPr>
            </w:pPr>
            <w:r>
              <w:rPr>
                <w:rFonts w:cs="Calibri"/>
              </w:rPr>
              <w:t>Seminars:</w:t>
            </w:r>
          </w:p>
        </w:tc>
        <w:tc>
          <w:tcPr>
            <w:tcW w:w="3132" w:type="dxa"/>
            <w:shd w:val="clear" w:color="auto" w:fill="auto"/>
            <w:tcMar>
              <w:left w:w="103" w:type="dxa"/>
            </w:tcMar>
          </w:tcPr>
          <w:p w14:paraId="76F7B5B3" w14:textId="77777777" w:rsidR="00AA3BAD" w:rsidRDefault="00454BBA" w:rsidP="00ED0220">
            <w:pPr>
              <w:spacing w:after="0" w:line="240" w:lineRule="auto"/>
              <w:rPr>
                <w:rFonts w:ascii="Calibri" w:hAnsi="Calibri" w:cs="Calibri"/>
              </w:rPr>
            </w:pPr>
            <w:r>
              <w:rPr>
                <w:rFonts w:cs="Calibri"/>
              </w:rPr>
              <w:t>1</w:t>
            </w:r>
            <w:r w:rsidR="00FB0D23">
              <w:rPr>
                <w:rFonts w:cs="Calibri"/>
              </w:rPr>
              <w:t xml:space="preserve"> hours</w:t>
            </w:r>
          </w:p>
        </w:tc>
        <w:tc>
          <w:tcPr>
            <w:tcW w:w="3133" w:type="dxa"/>
            <w:shd w:val="clear" w:color="auto" w:fill="auto"/>
            <w:tcMar>
              <w:left w:w="103" w:type="dxa"/>
            </w:tcMar>
          </w:tcPr>
          <w:p w14:paraId="18028B3E" w14:textId="77777777" w:rsidR="00AA3BAD" w:rsidRDefault="00454BBA" w:rsidP="00ED0220">
            <w:pPr>
              <w:spacing w:after="0" w:line="240" w:lineRule="auto"/>
              <w:rPr>
                <w:rFonts w:ascii="Calibri" w:hAnsi="Calibri" w:cs="Calibri"/>
              </w:rPr>
            </w:pPr>
            <w:r>
              <w:rPr>
                <w:rFonts w:cs="Calibri"/>
              </w:rPr>
              <w:t>15</w:t>
            </w:r>
            <w:r w:rsidR="00FB0D23">
              <w:rPr>
                <w:rFonts w:cs="Calibri"/>
              </w:rPr>
              <w:t xml:space="preserve"> hours</w:t>
            </w:r>
          </w:p>
        </w:tc>
      </w:tr>
      <w:tr w:rsidR="00AA3BAD" w14:paraId="252A0A50" w14:textId="77777777">
        <w:tc>
          <w:tcPr>
            <w:tcW w:w="9397" w:type="dxa"/>
            <w:gridSpan w:val="3"/>
            <w:shd w:val="clear" w:color="auto" w:fill="auto"/>
            <w:tcMar>
              <w:left w:w="103" w:type="dxa"/>
            </w:tcMar>
          </w:tcPr>
          <w:p w14:paraId="2550BB31" w14:textId="77777777" w:rsidR="00AA3BAD" w:rsidRDefault="001A696F" w:rsidP="00ED0220">
            <w:pPr>
              <w:spacing w:after="0" w:line="240" w:lineRule="auto"/>
            </w:pPr>
            <w:r>
              <w:rPr>
                <w:rFonts w:cs="Calibri"/>
              </w:rPr>
              <w:t>ECTS: 4</w:t>
            </w:r>
            <w:r w:rsidR="00FB0D23">
              <w:rPr>
                <w:rFonts w:cs="Calibri"/>
              </w:rPr>
              <w:t xml:space="preserve"> ECTS</w:t>
            </w:r>
          </w:p>
        </w:tc>
      </w:tr>
      <w:tr w:rsidR="00AA3BAD" w14:paraId="4E65FE39" w14:textId="77777777">
        <w:tc>
          <w:tcPr>
            <w:tcW w:w="9397" w:type="dxa"/>
            <w:gridSpan w:val="3"/>
            <w:shd w:val="clear" w:color="auto" w:fill="auto"/>
            <w:tcMar>
              <w:left w:w="103" w:type="dxa"/>
            </w:tcMar>
          </w:tcPr>
          <w:p w14:paraId="58DA6BCA" w14:textId="77777777" w:rsidR="00AA3BAD" w:rsidRDefault="00FB0D23" w:rsidP="00ED0220">
            <w:pPr>
              <w:spacing w:after="0" w:line="240" w:lineRule="auto"/>
            </w:pPr>
            <w:r>
              <w:rPr>
                <w:rFonts w:cs="Calibri"/>
              </w:rPr>
              <w:t>Teaching language and level</w:t>
            </w:r>
            <w:r>
              <w:rPr>
                <w:rStyle w:val="FootnoteAnchor"/>
                <w:rFonts w:cs="Calibri"/>
              </w:rPr>
              <w:footnoteReference w:id="5"/>
            </w:r>
            <w:r>
              <w:rPr>
                <w:rFonts w:cs="Calibri"/>
              </w:rPr>
              <w:t xml:space="preserve">  for guest (exchange) students: </w:t>
            </w:r>
            <w:r w:rsidR="00454BBA" w:rsidRPr="00754573">
              <w:rPr>
                <w:rFonts w:cs="Calibri"/>
              </w:rPr>
              <w:t xml:space="preserve"> Croatian B2, Polish B2</w:t>
            </w:r>
          </w:p>
        </w:tc>
      </w:tr>
      <w:tr w:rsidR="00AA3BAD" w14:paraId="7A203CA0" w14:textId="77777777">
        <w:tc>
          <w:tcPr>
            <w:tcW w:w="9397" w:type="dxa"/>
            <w:gridSpan w:val="3"/>
            <w:shd w:val="clear" w:color="auto" w:fill="auto"/>
            <w:tcMar>
              <w:left w:w="103" w:type="dxa"/>
            </w:tcMar>
          </w:tcPr>
          <w:p w14:paraId="39D6A261" w14:textId="77777777" w:rsidR="00AA3BAD" w:rsidRDefault="00FB0D23" w:rsidP="00ED0220">
            <w:pPr>
              <w:spacing w:after="0" w:line="240" w:lineRule="auto"/>
            </w:pPr>
            <w:r>
              <w:rPr>
                <w:rFonts w:cs="Calibri"/>
              </w:rPr>
              <w:t>Teaching Methods</w:t>
            </w:r>
            <w:r>
              <w:rPr>
                <w:rStyle w:val="FootnoteAnchor"/>
                <w:rFonts w:cs="Calibri"/>
              </w:rPr>
              <w:footnoteReference w:id="6"/>
            </w:r>
            <w:r>
              <w:rPr>
                <w:rFonts w:cs="Calibri"/>
              </w:rPr>
              <w:t xml:space="preserve"> for guest (exchange) students: L1</w:t>
            </w:r>
          </w:p>
        </w:tc>
      </w:tr>
      <w:tr w:rsidR="00AA3BAD" w14:paraId="6681CA3B" w14:textId="77777777">
        <w:tc>
          <w:tcPr>
            <w:tcW w:w="9397" w:type="dxa"/>
            <w:gridSpan w:val="3"/>
            <w:shd w:val="clear" w:color="auto" w:fill="auto"/>
            <w:tcMar>
              <w:left w:w="103" w:type="dxa"/>
            </w:tcMar>
          </w:tcPr>
          <w:p w14:paraId="41C2BAB7" w14:textId="3CF27874" w:rsidR="00AA3BAD" w:rsidRPr="00ED0220" w:rsidRDefault="00FB0D23" w:rsidP="00ED0220">
            <w:pPr>
              <w:spacing w:line="240" w:lineRule="auto"/>
              <w:rPr>
                <w:rFonts w:cs="Calibri"/>
              </w:rPr>
            </w:pPr>
            <w:r>
              <w:rPr>
                <w:rFonts w:cs="Calibri"/>
              </w:rPr>
              <w:t>Evaluation Methods</w:t>
            </w:r>
            <w:r>
              <w:rPr>
                <w:rStyle w:val="FootnoteAnchor"/>
                <w:rFonts w:cs="Calibri"/>
              </w:rPr>
              <w:footnoteReference w:id="7"/>
            </w:r>
            <w:r>
              <w:rPr>
                <w:rFonts w:cs="Calibri"/>
              </w:rPr>
              <w:t xml:space="preserve"> and Grading</w:t>
            </w:r>
            <w:r>
              <w:rPr>
                <w:rStyle w:val="FootnoteAnchor"/>
                <w:rFonts w:cs="Calibri"/>
              </w:rPr>
              <w:footnoteReference w:id="8"/>
            </w:r>
            <w:r>
              <w:rPr>
                <w:rFonts w:cs="Calibri"/>
              </w:rPr>
              <w:t xml:space="preserve">: </w:t>
            </w:r>
            <w:r w:rsidR="00454BBA" w:rsidRPr="00754573">
              <w:rPr>
                <w:rFonts w:cs="Calibri"/>
              </w:rPr>
              <w:t xml:space="preserve"> Oral Exam; </w:t>
            </w:r>
            <w:r w:rsidR="00131478">
              <w:rPr>
                <w:rFonts w:cs="Calibri"/>
              </w:rPr>
              <w:t xml:space="preserve">Institutional grading system </w:t>
            </w:r>
            <w:r w:rsidR="00131478" w:rsidRPr="00131478">
              <w:rPr>
                <w:rFonts w:cs="Calibri"/>
              </w:rPr>
              <w:t>(5 Excellent; 4 Very good; 3 Good; 2 Sufficient; 1 Fail)</w:t>
            </w:r>
          </w:p>
        </w:tc>
      </w:tr>
      <w:tr w:rsidR="00AA3BAD" w14:paraId="31F42BD0" w14:textId="77777777">
        <w:tc>
          <w:tcPr>
            <w:tcW w:w="9397" w:type="dxa"/>
            <w:gridSpan w:val="3"/>
            <w:shd w:val="clear" w:color="auto" w:fill="auto"/>
            <w:tcMar>
              <w:left w:w="103" w:type="dxa"/>
            </w:tcMar>
          </w:tcPr>
          <w:p w14:paraId="1C382BC7" w14:textId="27B03E37" w:rsidR="00AA3BAD" w:rsidRPr="00ED0220" w:rsidRDefault="00FB0D23" w:rsidP="00ED0220">
            <w:pPr>
              <w:spacing w:after="0" w:line="240" w:lineRule="auto"/>
            </w:pPr>
            <w:r>
              <w:rPr>
                <w:rFonts w:cs="Calibri"/>
              </w:rPr>
              <w:t>Learning Outcomes:</w:t>
            </w:r>
            <w:r w:rsidR="00454BBA">
              <w:rPr>
                <w:rFonts w:cs="Calibri"/>
              </w:rPr>
              <w:t xml:space="preserve"> </w:t>
            </w:r>
            <w:r w:rsidR="00454BBA" w:rsidRPr="00754573">
              <w:rPr>
                <w:rFonts w:cs="Calibri"/>
              </w:rPr>
              <w:t xml:space="preserve">: </w:t>
            </w:r>
            <w:r w:rsidR="00131478">
              <w:rPr>
                <w:rFonts w:cs="Calibri"/>
              </w:rPr>
              <w:t>T</w:t>
            </w:r>
            <w:r w:rsidR="00454BBA" w:rsidRPr="00754573">
              <w:rPr>
                <w:rStyle w:val="tlid-translation"/>
              </w:rPr>
              <w:t xml:space="preserve">o recognize and explain the importance of the role of drama and theater in Polish culture over the centuries; explain and apply the basic dramatic and theatrical apparatus; </w:t>
            </w:r>
            <w:r w:rsidR="00454BBA" w:rsidRPr="00754573">
              <w:br/>
            </w:r>
            <w:r w:rsidR="00454BBA" w:rsidRPr="00754573">
              <w:rPr>
                <w:rStyle w:val="tlid-translation"/>
              </w:rPr>
              <w:t>recognize and explain the key phenomena in the history of Polish drama and theater</w:t>
            </w:r>
            <w:r w:rsidR="00454BBA" w:rsidRPr="00754573">
              <w:t xml:space="preserve">; </w:t>
            </w:r>
            <w:r w:rsidR="00454BBA" w:rsidRPr="00754573">
              <w:rPr>
                <w:rStyle w:val="tlid-translation"/>
              </w:rPr>
              <w:t>to express specificities of particular periods and basic forms of drama and theater throughout history</w:t>
            </w:r>
            <w:r w:rsidR="00454BBA" w:rsidRPr="00754573">
              <w:br/>
            </w:r>
            <w:r w:rsidR="00454BBA" w:rsidRPr="00754573">
              <w:rPr>
                <w:rStyle w:val="tlid-translation"/>
              </w:rPr>
              <w:t>analyze and critically judge canonical works from the history of Polish drama and theater</w:t>
            </w:r>
            <w:r w:rsidR="00131478">
              <w:rPr>
                <w:rStyle w:val="tlid-translation"/>
              </w:rPr>
              <w:t>.</w:t>
            </w:r>
          </w:p>
        </w:tc>
      </w:tr>
      <w:tr w:rsidR="00AA3BAD" w:rsidRPr="001A696F" w14:paraId="1380BE46" w14:textId="77777777">
        <w:tc>
          <w:tcPr>
            <w:tcW w:w="9397" w:type="dxa"/>
            <w:gridSpan w:val="3"/>
            <w:shd w:val="clear" w:color="auto" w:fill="auto"/>
            <w:tcMar>
              <w:left w:w="103" w:type="dxa"/>
            </w:tcMar>
          </w:tcPr>
          <w:p w14:paraId="7F419F14" w14:textId="77777777" w:rsidR="00AA3BAD" w:rsidRPr="001C3852" w:rsidRDefault="00FB0D23" w:rsidP="001C3852">
            <w:pPr>
              <w:spacing w:after="0" w:line="240" w:lineRule="auto"/>
              <w:rPr>
                <w:lang w:val="pl-PL"/>
              </w:rPr>
            </w:pPr>
            <w:r w:rsidRPr="0041227D">
              <w:rPr>
                <w:rFonts w:cs="Calibri"/>
                <w:lang w:val="pl-PL"/>
              </w:rPr>
              <w:t>Literature:</w:t>
            </w:r>
            <w:r w:rsidR="001C3852">
              <w:rPr>
                <w:lang w:val="pl-PL"/>
              </w:rPr>
              <w:t xml:space="preserve"> </w:t>
            </w:r>
            <w:r w:rsidR="00454BBA" w:rsidRPr="00754573">
              <w:rPr>
                <w:rFonts w:eastAsia="Times New Roman" w:cs="Times New Roman"/>
                <w:lang w:val="hr-HR" w:eastAsia="hr-HR"/>
              </w:rPr>
              <w:t>J. Kochano</w:t>
            </w:r>
            <w:r w:rsidR="00454BBA">
              <w:rPr>
                <w:rFonts w:eastAsia="Times New Roman" w:cs="Times New Roman"/>
                <w:lang w:val="hr-HR" w:eastAsia="hr-HR"/>
              </w:rPr>
              <w:t>wski, Odprawa posłów greckich; k</w:t>
            </w:r>
            <w:r w:rsidR="00454BBA" w:rsidRPr="00754573">
              <w:rPr>
                <w:rFonts w:eastAsia="Times New Roman" w:cs="Times New Roman"/>
                <w:lang w:val="hr-HR" w:eastAsia="hr-HR"/>
              </w:rPr>
              <w:t>omedia rybałtowska; A. Mickiewicz, Dziady; Z. Krasiński, Nie-boska komedia;</w:t>
            </w:r>
            <w:r w:rsidR="00454BBA">
              <w:rPr>
                <w:rFonts w:eastAsia="Times New Roman" w:cs="Times New Roman"/>
                <w:lang w:val="hr-HR" w:eastAsia="hr-HR"/>
              </w:rPr>
              <w:t xml:space="preserve"> J. Słowacki, Kordian</w:t>
            </w:r>
            <w:r w:rsidR="00454BBA" w:rsidRPr="00754573">
              <w:rPr>
                <w:rFonts w:eastAsia="Times New Roman" w:cs="Times New Roman"/>
                <w:lang w:val="hr-HR" w:eastAsia="hr-HR"/>
              </w:rPr>
              <w:t>; C. K. Norwid, Pierścień wielkiej damy; A. Fredro, Zemsta; S. Wyspiański, Wesele; S. I. Witkiewicz, Szewcy; W. Gombrowicz, Ślub; S. Mrożek</w:t>
            </w:r>
            <w:r w:rsidR="00ED0220">
              <w:rPr>
                <w:rFonts w:eastAsia="Times New Roman" w:cs="Times New Roman"/>
                <w:lang w:val="hr-HR" w:eastAsia="hr-HR"/>
              </w:rPr>
              <w:t xml:space="preserve">, Tango, T. Różewicz, Kartoteka; </w:t>
            </w:r>
            <w:r w:rsidR="00454BBA" w:rsidRPr="00754573">
              <w:rPr>
                <w:rFonts w:eastAsia="Times New Roman" w:cs="Times New Roman"/>
                <w:lang w:val="hr-HR" w:eastAsia="hr-HR"/>
              </w:rPr>
              <w:t xml:space="preserve">Z. Raszewski, Krótka historia teatru polskiego, Warszawa, 1978. </w:t>
            </w:r>
          </w:p>
        </w:tc>
      </w:tr>
    </w:tbl>
    <w:p w14:paraId="4D104E95" w14:textId="77777777" w:rsidR="00AA3BAD" w:rsidRDefault="00AA3BAD" w:rsidP="00ED0220">
      <w:pPr>
        <w:spacing w:line="240" w:lineRule="auto"/>
      </w:pPr>
    </w:p>
    <w:sectPr w:rsidR="00AA3BAD">
      <w:pgSz w:w="12240" w:h="15840"/>
      <w:pgMar w:top="709" w:right="1417" w:bottom="142"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25F8C" w14:textId="77777777" w:rsidR="00874B4F" w:rsidRDefault="00874B4F">
      <w:pPr>
        <w:spacing w:after="0" w:line="240" w:lineRule="auto"/>
      </w:pPr>
      <w:r>
        <w:separator/>
      </w:r>
    </w:p>
  </w:endnote>
  <w:endnote w:type="continuationSeparator" w:id="0">
    <w:p w14:paraId="6D8EB2D2" w14:textId="77777777" w:rsidR="00874B4F" w:rsidRDefault="00874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E54E5" w14:textId="77777777" w:rsidR="00874B4F" w:rsidRDefault="00874B4F">
      <w:r>
        <w:separator/>
      </w:r>
    </w:p>
  </w:footnote>
  <w:footnote w:type="continuationSeparator" w:id="0">
    <w:p w14:paraId="294E8927" w14:textId="77777777" w:rsidR="00874B4F" w:rsidRDefault="00874B4F">
      <w:r>
        <w:continuationSeparator/>
      </w:r>
    </w:p>
  </w:footnote>
  <w:footnote w:id="1">
    <w:p w14:paraId="318CC5CE" w14:textId="77777777" w:rsidR="00AA3BAD" w:rsidRPr="005A3DA3" w:rsidRDefault="00FB0D23" w:rsidP="005A3DA3">
      <w:pPr>
        <w:spacing w:after="0" w:line="240" w:lineRule="auto"/>
        <w:jc w:val="both"/>
        <w:rPr>
          <w:sz w:val="18"/>
          <w:szCs w:val="18"/>
        </w:rPr>
      </w:pPr>
      <w:r>
        <w:rPr>
          <w:rStyle w:val="FootnoteReference"/>
          <w:sz w:val="20"/>
          <w:szCs w:val="20"/>
        </w:rPr>
        <w:footnoteRef/>
      </w:r>
      <w:r>
        <w:rPr>
          <w:rStyle w:val="FootnoteReference"/>
          <w:sz w:val="20"/>
          <w:szCs w:val="20"/>
        </w:rPr>
        <w:tab/>
      </w:r>
      <w:r w:rsidRPr="005A3DA3">
        <w:rPr>
          <w:sz w:val="18"/>
          <w:szCs w:val="18"/>
        </w:rPr>
        <w:t xml:space="preserve"> BA, MA, PhD; 2</w:t>
      </w:r>
      <w:r w:rsidRPr="005A3DA3">
        <w:rPr>
          <w:sz w:val="18"/>
          <w:szCs w:val="18"/>
          <w:vertAlign w:val="superscript"/>
        </w:rPr>
        <w:t>nd</w:t>
      </w:r>
      <w:r w:rsidRPr="005A3DA3">
        <w:rPr>
          <w:sz w:val="18"/>
          <w:szCs w:val="18"/>
        </w:rPr>
        <w:t xml:space="preserve"> year …</w:t>
      </w:r>
    </w:p>
  </w:footnote>
  <w:footnote w:id="2">
    <w:p w14:paraId="008D4509" w14:textId="77777777" w:rsidR="00AA3BAD" w:rsidRPr="005A3DA3" w:rsidRDefault="00FB0D23" w:rsidP="005A3DA3">
      <w:pPr>
        <w:spacing w:after="0" w:line="240" w:lineRule="auto"/>
        <w:jc w:val="both"/>
        <w:rPr>
          <w:sz w:val="18"/>
          <w:szCs w:val="18"/>
        </w:rPr>
      </w:pPr>
      <w:r w:rsidRPr="005A3DA3">
        <w:rPr>
          <w:rStyle w:val="FootnoteReference"/>
          <w:sz w:val="18"/>
          <w:szCs w:val="18"/>
        </w:rPr>
        <w:footnoteRef/>
      </w:r>
      <w:r w:rsidRPr="005A3DA3">
        <w:rPr>
          <w:rStyle w:val="FootnoteReference"/>
          <w:sz w:val="18"/>
          <w:szCs w:val="18"/>
        </w:rPr>
        <w:tab/>
      </w:r>
      <w:r w:rsidRPr="005A3DA3">
        <w:rPr>
          <w:sz w:val="18"/>
          <w:szCs w:val="18"/>
        </w:rPr>
        <w:t xml:space="preserve"> Winter, Summer, Academic Year</w:t>
      </w:r>
    </w:p>
  </w:footnote>
  <w:footnote w:id="3">
    <w:p w14:paraId="469E0B8A" w14:textId="77777777" w:rsidR="00AA3BAD" w:rsidRPr="005A3DA3" w:rsidRDefault="00FB0D23" w:rsidP="005A3DA3">
      <w:pPr>
        <w:pStyle w:val="FootnoteText"/>
        <w:spacing w:after="0"/>
        <w:jc w:val="both"/>
        <w:rPr>
          <w:sz w:val="18"/>
          <w:szCs w:val="18"/>
        </w:rPr>
      </w:pPr>
      <w:r w:rsidRPr="005A3DA3">
        <w:rPr>
          <w:rStyle w:val="FootnoteReference"/>
          <w:sz w:val="18"/>
          <w:szCs w:val="18"/>
        </w:rPr>
        <w:footnoteRef/>
      </w:r>
      <w:r w:rsidRPr="005A3DA3">
        <w:rPr>
          <w:rStyle w:val="FootnoteReference"/>
          <w:sz w:val="18"/>
          <w:szCs w:val="18"/>
        </w:rPr>
        <w:tab/>
      </w:r>
      <w:r w:rsidRPr="005A3DA3">
        <w:rPr>
          <w:sz w:val="18"/>
          <w:szCs w:val="18"/>
        </w:rPr>
        <w:t xml:space="preserve"> Teaching language according to the regular programme (e.g. Croatian, French, Slovenian…)</w:t>
      </w:r>
    </w:p>
  </w:footnote>
  <w:footnote w:id="4">
    <w:p w14:paraId="382D797D" w14:textId="77777777" w:rsidR="00AA3BAD" w:rsidRPr="005A3DA3" w:rsidRDefault="00FB0D23" w:rsidP="005A3DA3">
      <w:pPr>
        <w:pStyle w:val="FootnoteText"/>
        <w:spacing w:after="0"/>
        <w:jc w:val="both"/>
        <w:rPr>
          <w:sz w:val="18"/>
          <w:szCs w:val="18"/>
        </w:rPr>
      </w:pPr>
      <w:r w:rsidRPr="005A3DA3">
        <w:rPr>
          <w:rStyle w:val="FootnoteReference"/>
          <w:sz w:val="18"/>
          <w:szCs w:val="18"/>
        </w:rPr>
        <w:footnoteRef/>
      </w:r>
      <w:r w:rsidRPr="005A3DA3">
        <w:rPr>
          <w:rStyle w:val="FootnoteReference"/>
          <w:sz w:val="18"/>
          <w:szCs w:val="18"/>
        </w:rPr>
        <w:tab/>
      </w:r>
      <w:r w:rsidRPr="005A3DA3">
        <w:rPr>
          <w:sz w:val="18"/>
          <w:szCs w:val="18"/>
        </w:rPr>
        <w:t xml:space="preserve"> Direct instructions: teaching through lectures/seminars/exercises and teacher-led demonstrations in the classroom; Presentations; Classroom discussion; E-Learning (Omega, etc.); Fieldwork; Other (specify)</w:t>
      </w:r>
    </w:p>
  </w:footnote>
  <w:footnote w:id="5">
    <w:p w14:paraId="439A72DF" w14:textId="77777777" w:rsidR="00AA3BAD" w:rsidRPr="005A3DA3" w:rsidRDefault="00FB0D23" w:rsidP="005A3DA3">
      <w:pPr>
        <w:pStyle w:val="FootnoteText"/>
        <w:spacing w:after="0"/>
        <w:jc w:val="both"/>
        <w:rPr>
          <w:sz w:val="18"/>
          <w:szCs w:val="18"/>
        </w:rPr>
      </w:pPr>
      <w:r w:rsidRPr="005A3DA3">
        <w:rPr>
          <w:rStyle w:val="FootnoteReference"/>
          <w:sz w:val="18"/>
          <w:szCs w:val="18"/>
        </w:rPr>
        <w:footnoteRef/>
      </w:r>
      <w:r w:rsidRPr="005A3DA3">
        <w:rPr>
          <w:rStyle w:val="FootnoteReference"/>
          <w:sz w:val="18"/>
          <w:szCs w:val="18"/>
        </w:rPr>
        <w:tab/>
      </w:r>
      <w:r w:rsidRPr="005A3DA3">
        <w:rPr>
          <w:sz w:val="18"/>
          <w:szCs w:val="18"/>
        </w:rPr>
        <w:t xml:space="preserve"> </w:t>
      </w:r>
      <w:r w:rsidRPr="005A3DA3">
        <w:rPr>
          <w:sz w:val="18"/>
          <w:szCs w:val="18"/>
          <w:lang w:val="hr-HR"/>
        </w:rPr>
        <w:t>According to CEFR (e.g. English B2, German C1…)</w:t>
      </w:r>
    </w:p>
  </w:footnote>
  <w:footnote w:id="6">
    <w:p w14:paraId="1735B346" w14:textId="77777777" w:rsidR="00AA3BAD" w:rsidRPr="005A3DA3" w:rsidRDefault="00FB0D23" w:rsidP="005A3DA3">
      <w:pPr>
        <w:pStyle w:val="FootnoteText"/>
        <w:spacing w:after="0"/>
        <w:jc w:val="both"/>
        <w:rPr>
          <w:sz w:val="18"/>
          <w:szCs w:val="18"/>
        </w:rPr>
      </w:pPr>
      <w:r w:rsidRPr="005A3DA3">
        <w:rPr>
          <w:rStyle w:val="FootnoteReference"/>
          <w:sz w:val="18"/>
          <w:szCs w:val="18"/>
        </w:rPr>
        <w:footnoteRef/>
      </w:r>
      <w:r w:rsidRPr="005A3DA3">
        <w:rPr>
          <w:rStyle w:val="FootnoteReference"/>
          <w:sz w:val="18"/>
          <w:szCs w:val="18"/>
        </w:rPr>
        <w:tab/>
      </w:r>
      <w:r w:rsidRPr="005A3DA3">
        <w:rPr>
          <w:sz w:val="18"/>
          <w:szCs w:val="18"/>
        </w:rPr>
        <w:t xml:space="preserve"> </w:t>
      </w:r>
      <w:r w:rsidRPr="005A3DA3">
        <w:rPr>
          <w:b/>
          <w:sz w:val="18"/>
          <w:szCs w:val="18"/>
        </w:rPr>
        <w:t>Language options for guest (exchange) students):</w:t>
      </w:r>
    </w:p>
    <w:p w14:paraId="022B4B3E" w14:textId="77777777" w:rsidR="00AA3BAD" w:rsidRPr="005A3DA3" w:rsidRDefault="00FB0D23" w:rsidP="005A3DA3">
      <w:pPr>
        <w:pStyle w:val="FootnoteText"/>
        <w:spacing w:after="0"/>
        <w:jc w:val="both"/>
        <w:rPr>
          <w:sz w:val="18"/>
          <w:szCs w:val="18"/>
        </w:rPr>
      </w:pPr>
      <w:r w:rsidRPr="005A3DA3">
        <w:rPr>
          <w:sz w:val="18"/>
          <w:szCs w:val="18"/>
        </w:rPr>
        <w:tab/>
        <w:t>L1 - All teaching activities will be held in regular teaching language. However, guest (exchange) students will have the opportunity to attend additional consultations with the lecturer and teaching assistants in foreign language (indicated as teaching language for guest (exchange) students), to help master the course materials. Additionally, the lecturer will refer guest (exchange) students to the corresponding literature in foreign language, as well as give them the possibility of taking the associated exams in foreign language.</w:t>
      </w:r>
    </w:p>
    <w:p w14:paraId="51F22F96" w14:textId="77777777" w:rsidR="00AA3BAD" w:rsidRPr="005A3DA3" w:rsidRDefault="00FB0D23" w:rsidP="005A3DA3">
      <w:pPr>
        <w:pStyle w:val="FootnoteText"/>
        <w:spacing w:after="0"/>
        <w:jc w:val="both"/>
        <w:rPr>
          <w:sz w:val="18"/>
          <w:szCs w:val="18"/>
        </w:rPr>
      </w:pPr>
      <w:r w:rsidRPr="005A3DA3">
        <w:rPr>
          <w:sz w:val="18"/>
          <w:szCs w:val="18"/>
        </w:rPr>
        <w:tab/>
        <w:t>L2 - All teaching activities will be held in regular teaching language only.</w:t>
      </w:r>
    </w:p>
  </w:footnote>
  <w:footnote w:id="7">
    <w:p w14:paraId="531871D3" w14:textId="77777777" w:rsidR="00AA3BAD" w:rsidRPr="005A3DA3" w:rsidRDefault="00FB0D23" w:rsidP="005A3DA3">
      <w:pPr>
        <w:spacing w:after="0" w:line="240" w:lineRule="auto"/>
        <w:jc w:val="both"/>
        <w:rPr>
          <w:sz w:val="18"/>
          <w:szCs w:val="18"/>
        </w:rPr>
      </w:pPr>
      <w:r w:rsidRPr="005A3DA3">
        <w:rPr>
          <w:rStyle w:val="FootnoteReference"/>
          <w:sz w:val="18"/>
          <w:szCs w:val="18"/>
        </w:rPr>
        <w:footnoteRef/>
      </w:r>
      <w:r w:rsidRPr="005A3DA3">
        <w:rPr>
          <w:rStyle w:val="FootnoteReference"/>
          <w:sz w:val="18"/>
          <w:szCs w:val="18"/>
        </w:rPr>
        <w:tab/>
      </w:r>
      <w:r w:rsidRPr="005A3DA3">
        <w:rPr>
          <w:sz w:val="18"/>
          <w:szCs w:val="18"/>
        </w:rPr>
        <w:t xml:space="preserve"> Class attendance, Essay, Preliminary exam, Seminar paper, Practical work, Written exam, Oral Exam, Other (specify)</w:t>
      </w:r>
    </w:p>
  </w:footnote>
  <w:footnote w:id="8">
    <w:p w14:paraId="6BD37E72" w14:textId="77777777" w:rsidR="00AA3BAD" w:rsidRPr="005A3DA3" w:rsidRDefault="00FB0D23" w:rsidP="005A3DA3">
      <w:pPr>
        <w:spacing w:after="0" w:line="240" w:lineRule="auto"/>
        <w:jc w:val="both"/>
        <w:rPr>
          <w:sz w:val="18"/>
          <w:szCs w:val="18"/>
        </w:rPr>
      </w:pPr>
      <w:r w:rsidRPr="005A3DA3">
        <w:rPr>
          <w:rStyle w:val="FootnoteReference"/>
          <w:sz w:val="18"/>
          <w:szCs w:val="18"/>
        </w:rPr>
        <w:footnoteRef/>
      </w:r>
      <w:r w:rsidRPr="005A3DA3">
        <w:rPr>
          <w:rStyle w:val="FootnoteReference"/>
          <w:sz w:val="18"/>
          <w:szCs w:val="18"/>
        </w:rPr>
        <w:tab/>
      </w:r>
      <w:r w:rsidRPr="005A3DA3">
        <w:rPr>
          <w:sz w:val="18"/>
          <w:szCs w:val="18"/>
        </w:rPr>
        <w:t xml:space="preserve"> Standard - the institutional grading system (5 Excellent; 4 Very good; 3 Good; 2 Sufficient; 1 Fail)</w:t>
      </w:r>
    </w:p>
    <w:p w14:paraId="2BA6D09A" w14:textId="77777777" w:rsidR="00AA3BAD" w:rsidRPr="005A3DA3" w:rsidRDefault="00FB0D23" w:rsidP="005A3DA3">
      <w:pPr>
        <w:spacing w:after="0" w:line="240" w:lineRule="auto"/>
        <w:jc w:val="both"/>
        <w:rPr>
          <w:sz w:val="18"/>
          <w:szCs w:val="18"/>
        </w:rPr>
      </w:pPr>
      <w:r w:rsidRPr="005A3DA3">
        <w:rPr>
          <w:sz w:val="18"/>
          <w:szCs w:val="18"/>
        </w:rPr>
        <w:tab/>
        <w:t xml:space="preserve">Additional: </w:t>
      </w:r>
    </w:p>
    <w:p w14:paraId="399D8115" w14:textId="77777777" w:rsidR="00AA3BAD" w:rsidRPr="005A3DA3" w:rsidRDefault="00FB0D23" w:rsidP="005A3DA3">
      <w:pPr>
        <w:spacing w:after="0" w:line="240" w:lineRule="auto"/>
        <w:jc w:val="both"/>
        <w:rPr>
          <w:sz w:val="18"/>
          <w:szCs w:val="18"/>
        </w:rPr>
      </w:pPr>
      <w:r w:rsidRPr="005A3DA3">
        <w:rPr>
          <w:sz w:val="18"/>
          <w:szCs w:val="18"/>
        </w:rPr>
        <w:tab/>
        <w:t>RA - Regular Attendance (No ECTS credits awarded for course attendance only)</w:t>
      </w:r>
    </w:p>
    <w:p w14:paraId="6A6DD400" w14:textId="77777777" w:rsidR="00AA3BAD" w:rsidRPr="005A3DA3" w:rsidRDefault="00FB0D23" w:rsidP="005A3DA3">
      <w:pPr>
        <w:spacing w:after="0" w:line="240" w:lineRule="auto"/>
        <w:jc w:val="both"/>
        <w:rPr>
          <w:sz w:val="18"/>
          <w:szCs w:val="18"/>
        </w:rPr>
      </w:pPr>
      <w:r w:rsidRPr="005A3DA3">
        <w:rPr>
          <w:sz w:val="18"/>
          <w:szCs w:val="18"/>
        </w:rPr>
        <w:tab/>
        <w:t>C - Completed (Student has completed proscribed obligations/no ECTS credits awarded)</w:t>
      </w:r>
    </w:p>
    <w:p w14:paraId="126AE7E2" w14:textId="77777777" w:rsidR="00AA3BAD" w:rsidRPr="005A3DA3" w:rsidRDefault="00FB0D23" w:rsidP="005A3DA3">
      <w:pPr>
        <w:spacing w:after="0" w:line="240" w:lineRule="auto"/>
        <w:jc w:val="both"/>
        <w:rPr>
          <w:sz w:val="18"/>
          <w:szCs w:val="18"/>
        </w:rPr>
      </w:pPr>
      <w:r w:rsidRPr="005A3DA3">
        <w:rPr>
          <w:sz w:val="18"/>
          <w:szCs w:val="18"/>
        </w:rPr>
        <w:tab/>
        <w:t>C+ – Completed + ECTS (Student has completed proscribed obligations + ECTS credits awarded)</w:t>
      </w:r>
    </w:p>
    <w:p w14:paraId="2A4E8173" w14:textId="77777777" w:rsidR="00AA3BAD" w:rsidRPr="005A3DA3" w:rsidRDefault="00AA3BAD" w:rsidP="005A3DA3">
      <w:pPr>
        <w:pStyle w:val="FootnoteText"/>
        <w:spacing w:after="0"/>
        <w:rPr>
          <w:sz w:val="18"/>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BAD"/>
    <w:rsid w:val="00131478"/>
    <w:rsid w:val="001A696F"/>
    <w:rsid w:val="001C3852"/>
    <w:rsid w:val="0041227D"/>
    <w:rsid w:val="00454BBA"/>
    <w:rsid w:val="005A3DA3"/>
    <w:rsid w:val="00874B4F"/>
    <w:rsid w:val="00AA3BAD"/>
    <w:rsid w:val="00B03879"/>
    <w:rsid w:val="00BF2DE6"/>
    <w:rsid w:val="00ED0220"/>
    <w:rsid w:val="00FB0D2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A7AB"/>
  <w15:docId w15:val="{C8A303FD-94BB-43D3-B4CE-8E10B9E3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714366"/>
    <w:rPr>
      <w:sz w:val="20"/>
      <w:szCs w:val="20"/>
    </w:rPr>
  </w:style>
  <w:style w:type="character" w:styleId="FootnoteReference">
    <w:name w:val="footnote reference"/>
    <w:basedOn w:val="DefaultParagraphFont"/>
    <w:uiPriority w:val="99"/>
    <w:semiHidden/>
    <w:unhideWhenUsed/>
    <w:qFormat/>
    <w:rsid w:val="00714366"/>
    <w:rPr>
      <w:vertAlign w:val="superscript"/>
    </w:rPr>
  </w:style>
  <w:style w:type="character" w:customStyle="1" w:styleId="BalloonTextChar">
    <w:name w:val="Balloon Text Char"/>
    <w:basedOn w:val="DefaultParagraphFont"/>
    <w:link w:val="BalloonText"/>
    <w:uiPriority w:val="99"/>
    <w:semiHidden/>
    <w:qFormat/>
    <w:rsid w:val="00966E70"/>
    <w:rPr>
      <w:rFonts w:ascii="Segoe UI" w:hAnsi="Segoe UI" w:cs="Segoe UI"/>
      <w:sz w:val="18"/>
      <w:szCs w:val="18"/>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Times New Roman" w:eastAsia="Arial Unicode MS" w:hAnsi="Times New Roman" w:cs="Arial Unicode MS"/>
      <w:sz w:val="28"/>
      <w:szCs w:val="28"/>
    </w:rPr>
  </w:style>
  <w:style w:type="paragraph" w:styleId="BodyText">
    <w:name w:val="Body Text"/>
    <w:basedOn w:val="Normal"/>
    <w:pPr>
      <w:spacing w:after="140" w:line="288" w:lineRule="auto"/>
    </w:p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ascii="Times New Roman" w:hAnsi="Times New Roman"/>
      <w:i/>
      <w:iCs/>
      <w:sz w:val="24"/>
      <w:szCs w:val="24"/>
    </w:rPr>
  </w:style>
  <w:style w:type="paragraph" w:customStyle="1" w:styleId="Index">
    <w:name w:val="Index"/>
    <w:basedOn w:val="Normal"/>
    <w:qFormat/>
    <w:pPr>
      <w:suppressLineNumbers/>
    </w:pPr>
    <w:rPr>
      <w:rFonts w:ascii="Times New Roman" w:hAnsi="Times New Roman"/>
    </w:rPr>
  </w:style>
  <w:style w:type="paragraph" w:styleId="FootnoteText">
    <w:name w:val="footnote text"/>
    <w:basedOn w:val="Normal"/>
    <w:link w:val="FootnoteTextChar"/>
  </w:style>
  <w:style w:type="paragraph" w:styleId="BalloonText">
    <w:name w:val="Balloon Text"/>
    <w:basedOn w:val="Normal"/>
    <w:link w:val="BalloonTextChar"/>
    <w:uiPriority w:val="99"/>
    <w:semiHidden/>
    <w:unhideWhenUsed/>
    <w:qFormat/>
    <w:rsid w:val="00966E70"/>
    <w:pPr>
      <w:spacing w:after="0" w:line="240" w:lineRule="auto"/>
    </w:pPr>
    <w:rPr>
      <w:rFonts w:ascii="Segoe UI" w:hAnsi="Segoe UI" w:cs="Segoe UI"/>
      <w:sz w:val="18"/>
      <w:szCs w:val="18"/>
    </w:rPr>
  </w:style>
  <w:style w:type="table" w:styleId="TableGrid">
    <w:name w:val="Table Grid"/>
    <w:basedOn w:val="TableNormal"/>
    <w:uiPriority w:val="39"/>
    <w:rsid w:val="0071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45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B8816-4720-4F97-ADFF-55227DD5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Filip</cp:lastModifiedBy>
  <cp:revision>8</cp:revision>
  <cp:lastPrinted>2019-02-18T13:08:00Z</cp:lastPrinted>
  <dcterms:created xsi:type="dcterms:W3CDTF">2019-05-15T09:11:00Z</dcterms:created>
  <dcterms:modified xsi:type="dcterms:W3CDTF">2026-02-06T10:18:00Z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