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2"/>
        <w:gridCol w:w="3132"/>
        <w:gridCol w:w="3132"/>
      </w:tblGrid>
      <w:tr w:rsidR="00CF2642" w:rsidRPr="0058197B" w14:paraId="1A1F6B1A" w14:textId="77777777" w:rsidTr="0058197B">
        <w:tc>
          <w:tcPr>
            <w:tcW w:w="9396" w:type="dxa"/>
            <w:gridSpan w:val="3"/>
          </w:tcPr>
          <w:p w14:paraId="5C162959" w14:textId="1CD9F04D" w:rsidR="00CF2642" w:rsidRPr="00EC2718" w:rsidRDefault="00CF2642" w:rsidP="0058197B">
            <w:pPr>
              <w:spacing w:after="0" w:line="240" w:lineRule="auto"/>
              <w:rPr>
                <w:rFonts w:cs="Calibri"/>
                <w:color w:val="000000" w:themeColor="text1"/>
              </w:rPr>
            </w:pPr>
            <w:r w:rsidRPr="00EC2718">
              <w:rPr>
                <w:rFonts w:cs="Calibri"/>
                <w:color w:val="000000" w:themeColor="text1"/>
              </w:rPr>
              <w:t xml:space="preserve">STUDY PROGRAMME: </w:t>
            </w:r>
            <w:r w:rsidRPr="00EC2718">
              <w:rPr>
                <w:color w:val="000000" w:themeColor="text1"/>
              </w:rPr>
              <w:t xml:space="preserve"> </w:t>
            </w:r>
            <w:r w:rsidRPr="00CA61B6">
              <w:rPr>
                <w:rFonts w:cs="Calibri"/>
                <w:b/>
                <w:bCs/>
                <w:color w:val="000000" w:themeColor="text1"/>
              </w:rPr>
              <w:t xml:space="preserve">Ukrainian </w:t>
            </w:r>
            <w:r w:rsidR="00CA61B6" w:rsidRPr="00CA61B6">
              <w:rPr>
                <w:rFonts w:cs="Calibri"/>
                <w:b/>
                <w:bCs/>
                <w:color w:val="000000" w:themeColor="text1"/>
              </w:rPr>
              <w:t>L</w:t>
            </w:r>
            <w:r w:rsidRPr="00CA61B6">
              <w:rPr>
                <w:rFonts w:cs="Calibri"/>
                <w:b/>
                <w:bCs/>
                <w:color w:val="000000" w:themeColor="text1"/>
              </w:rPr>
              <w:t xml:space="preserve">anguage and </w:t>
            </w:r>
            <w:r w:rsidR="00CA61B6" w:rsidRPr="00CA61B6">
              <w:rPr>
                <w:rFonts w:cs="Calibri"/>
                <w:b/>
                <w:bCs/>
                <w:color w:val="000000" w:themeColor="text1"/>
              </w:rPr>
              <w:t>L</w:t>
            </w:r>
            <w:r w:rsidRPr="00CA61B6">
              <w:rPr>
                <w:rFonts w:cs="Calibri"/>
                <w:b/>
                <w:bCs/>
                <w:color w:val="000000" w:themeColor="text1"/>
              </w:rPr>
              <w:t>iterature</w:t>
            </w:r>
          </w:p>
          <w:p w14:paraId="593D2774" w14:textId="77777777" w:rsidR="00CF2642" w:rsidRPr="00EC2718" w:rsidRDefault="00CF2642" w:rsidP="0058197B">
            <w:pPr>
              <w:spacing w:after="0" w:line="240" w:lineRule="auto"/>
              <w:rPr>
                <w:rFonts w:cs="Calibri"/>
                <w:color w:val="000000" w:themeColor="text1"/>
              </w:rPr>
            </w:pPr>
          </w:p>
        </w:tc>
      </w:tr>
      <w:tr w:rsidR="00CF2642" w:rsidRPr="0058197B" w14:paraId="74E976EE" w14:textId="77777777" w:rsidTr="0058197B">
        <w:tc>
          <w:tcPr>
            <w:tcW w:w="9396" w:type="dxa"/>
            <w:gridSpan w:val="3"/>
          </w:tcPr>
          <w:p w14:paraId="425C95BE"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Level and Year</w:t>
            </w:r>
            <w:r w:rsidRPr="00EC2718">
              <w:rPr>
                <w:rStyle w:val="FootnoteReference"/>
                <w:rFonts w:cs="Calibri"/>
                <w:color w:val="000000" w:themeColor="text1"/>
              </w:rPr>
              <w:footnoteReference w:id="1"/>
            </w:r>
            <w:r w:rsidRPr="00EC2718">
              <w:rPr>
                <w:rFonts w:cs="Calibri"/>
                <w:color w:val="000000" w:themeColor="text1"/>
              </w:rPr>
              <w:t xml:space="preserve">:  </w:t>
            </w:r>
            <w:r w:rsidRPr="00CA61B6">
              <w:rPr>
                <w:rFonts w:cs="Calibri"/>
                <w:b/>
                <w:bCs/>
                <w:color w:val="000000" w:themeColor="text1"/>
              </w:rPr>
              <w:t>BA; 4</w:t>
            </w:r>
            <w:r w:rsidRPr="00CA61B6">
              <w:rPr>
                <w:rFonts w:cs="Calibri"/>
                <w:b/>
                <w:bCs/>
                <w:color w:val="000000" w:themeColor="text1"/>
                <w:vertAlign w:val="superscript"/>
              </w:rPr>
              <w:t xml:space="preserve">th </w:t>
            </w:r>
            <w:r w:rsidRPr="00CA61B6">
              <w:rPr>
                <w:rFonts w:cs="Calibri"/>
                <w:b/>
                <w:bCs/>
                <w:color w:val="000000" w:themeColor="text1"/>
              </w:rPr>
              <w:t>year</w:t>
            </w:r>
          </w:p>
        </w:tc>
      </w:tr>
      <w:tr w:rsidR="00CF2642" w:rsidRPr="0058197B" w14:paraId="63A3DF19" w14:textId="77777777" w:rsidTr="0058197B">
        <w:tc>
          <w:tcPr>
            <w:tcW w:w="9396" w:type="dxa"/>
            <w:gridSpan w:val="3"/>
          </w:tcPr>
          <w:p w14:paraId="3B8491A8"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 xml:space="preserve">Course Title: </w:t>
            </w:r>
            <w:r w:rsidRPr="00CA61B6">
              <w:rPr>
                <w:rFonts w:cs="Calibri"/>
                <w:b/>
                <w:bCs/>
                <w:color w:val="000000" w:themeColor="text1"/>
              </w:rPr>
              <w:t>Ukrainian Literature 7</w:t>
            </w:r>
          </w:p>
          <w:p w14:paraId="67D4A3FC" w14:textId="77777777" w:rsidR="00CF2642" w:rsidRPr="00EC2718" w:rsidRDefault="00CF2642" w:rsidP="0058197B">
            <w:pPr>
              <w:spacing w:after="0" w:line="240" w:lineRule="auto"/>
              <w:rPr>
                <w:rFonts w:cs="Calibri"/>
                <w:color w:val="000000" w:themeColor="text1"/>
              </w:rPr>
            </w:pPr>
          </w:p>
        </w:tc>
      </w:tr>
      <w:tr w:rsidR="00CF2642" w:rsidRPr="0058197B" w14:paraId="03758BF9" w14:textId="77777777" w:rsidTr="0058197B">
        <w:tc>
          <w:tcPr>
            <w:tcW w:w="9396" w:type="dxa"/>
            <w:gridSpan w:val="3"/>
          </w:tcPr>
          <w:p w14:paraId="20B2B925" w14:textId="77777777" w:rsidR="00CF2642" w:rsidRPr="00EC2718" w:rsidRDefault="00CF2642" w:rsidP="0058197B">
            <w:pPr>
              <w:spacing w:after="0" w:line="240" w:lineRule="auto"/>
              <w:jc w:val="both"/>
              <w:rPr>
                <w:rFonts w:cs="Calibri"/>
                <w:color w:val="000000" w:themeColor="text1"/>
              </w:rPr>
            </w:pPr>
            <w:r w:rsidRPr="00EC2718">
              <w:rPr>
                <w:rFonts w:cs="Calibri"/>
                <w:color w:val="000000" w:themeColor="text1"/>
              </w:rPr>
              <w:t xml:space="preserve">Course Description: </w:t>
            </w:r>
            <w:r w:rsidRPr="00CA61B6">
              <w:rPr>
                <w:rFonts w:cs="Calibri"/>
                <w:b/>
                <w:bCs/>
                <w:color w:val="000000" w:themeColor="text1"/>
              </w:rPr>
              <w:t>The course focuses on the characteristics and the development of Ukrainian literature from the 20</w:t>
            </w:r>
            <w:r w:rsidRPr="00CA61B6">
              <w:rPr>
                <w:rFonts w:cs="Calibri"/>
                <w:b/>
                <w:bCs/>
                <w:color w:val="000000" w:themeColor="text1"/>
                <w:vertAlign w:val="superscript"/>
              </w:rPr>
              <w:t>th</w:t>
            </w:r>
            <w:r w:rsidRPr="00CA61B6">
              <w:rPr>
                <w:rFonts w:cs="Calibri"/>
                <w:b/>
                <w:bCs/>
                <w:color w:val="000000" w:themeColor="text1"/>
              </w:rPr>
              <w:t xml:space="preserve"> to the beginning </w:t>
            </w:r>
            <w:proofErr w:type="gramStart"/>
            <w:r w:rsidRPr="00CA61B6">
              <w:rPr>
                <w:rFonts w:cs="Calibri"/>
                <w:b/>
                <w:bCs/>
                <w:color w:val="000000" w:themeColor="text1"/>
              </w:rPr>
              <w:t>21</w:t>
            </w:r>
            <w:r w:rsidRPr="00CA61B6">
              <w:rPr>
                <w:rFonts w:cs="Calibri"/>
                <w:b/>
                <w:bCs/>
                <w:color w:val="000000" w:themeColor="text1"/>
                <w:vertAlign w:val="superscript"/>
              </w:rPr>
              <w:t>th</w:t>
            </w:r>
            <w:proofErr w:type="gramEnd"/>
            <w:r w:rsidRPr="00CA61B6">
              <w:rPr>
                <w:rFonts w:cs="Calibri"/>
                <w:b/>
                <w:bCs/>
                <w:color w:val="000000" w:themeColor="text1"/>
              </w:rPr>
              <w:t xml:space="preserve"> century, a period of new Ukrainian literature written in modern Ukrainian language, with special reference to the problem of national revival and the development of the Ukrainian literary language.</w:t>
            </w:r>
            <w:r w:rsidRPr="00EC2718">
              <w:rPr>
                <w:rFonts w:cs="Calibri"/>
                <w:color w:val="000000" w:themeColor="text1"/>
              </w:rPr>
              <w:t xml:space="preserve"> </w:t>
            </w:r>
          </w:p>
        </w:tc>
      </w:tr>
      <w:tr w:rsidR="00CF2642" w:rsidRPr="0058197B" w14:paraId="1D40D64A" w14:textId="77777777" w:rsidTr="0058197B">
        <w:tc>
          <w:tcPr>
            <w:tcW w:w="9396" w:type="dxa"/>
            <w:gridSpan w:val="3"/>
          </w:tcPr>
          <w:p w14:paraId="4F878687"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Semester</w:t>
            </w:r>
            <w:r w:rsidRPr="00EC2718">
              <w:rPr>
                <w:rStyle w:val="FootnoteReference"/>
                <w:rFonts w:cs="Calibri"/>
                <w:color w:val="000000" w:themeColor="text1"/>
              </w:rPr>
              <w:footnoteReference w:id="2"/>
            </w:r>
            <w:r w:rsidRPr="00EC2718">
              <w:rPr>
                <w:rFonts w:cs="Calibri"/>
                <w:color w:val="000000" w:themeColor="text1"/>
              </w:rPr>
              <w:t>: Summer</w:t>
            </w:r>
          </w:p>
        </w:tc>
      </w:tr>
      <w:tr w:rsidR="00CF2642" w:rsidRPr="0058197B" w14:paraId="0F2CBE89" w14:textId="77777777" w:rsidTr="0058197B">
        <w:tc>
          <w:tcPr>
            <w:tcW w:w="9396" w:type="dxa"/>
            <w:gridSpan w:val="3"/>
          </w:tcPr>
          <w:p w14:paraId="5B69A847" w14:textId="2214CC3C" w:rsidR="00CF2642" w:rsidRPr="00EC2718" w:rsidRDefault="00CF2642" w:rsidP="00C765AD">
            <w:pPr>
              <w:spacing w:after="0" w:line="240" w:lineRule="auto"/>
              <w:rPr>
                <w:rFonts w:cs="Calibri"/>
                <w:color w:val="000000" w:themeColor="text1"/>
              </w:rPr>
            </w:pPr>
            <w:r w:rsidRPr="00EC2718">
              <w:rPr>
                <w:rFonts w:cs="Calibri"/>
                <w:color w:val="000000" w:themeColor="text1"/>
              </w:rPr>
              <w:t xml:space="preserve">Lecturer(s)/Teacher(s): </w:t>
            </w:r>
            <w:r w:rsidRPr="00CA61B6">
              <w:rPr>
                <w:rFonts w:cs="Calibri"/>
                <w:b/>
                <w:bCs/>
                <w:color w:val="000000" w:themeColor="text1"/>
              </w:rPr>
              <w:t>Dariya Pavlešen</w:t>
            </w:r>
            <w:r w:rsidR="00CA61B6" w:rsidRPr="00CA61B6">
              <w:rPr>
                <w:rFonts w:cs="Calibri"/>
                <w:b/>
                <w:bCs/>
                <w:color w:val="000000" w:themeColor="text1"/>
              </w:rPr>
              <w:t xml:space="preserve"> (primary); Pavao Jergović</w:t>
            </w:r>
          </w:p>
          <w:p w14:paraId="7F698BFF" w14:textId="77777777" w:rsidR="00CF2642" w:rsidRPr="00EC2718" w:rsidRDefault="00CF2642" w:rsidP="0058197B">
            <w:pPr>
              <w:spacing w:after="0" w:line="240" w:lineRule="auto"/>
              <w:rPr>
                <w:rFonts w:cs="Calibri"/>
                <w:color w:val="000000" w:themeColor="text1"/>
              </w:rPr>
            </w:pPr>
          </w:p>
        </w:tc>
      </w:tr>
      <w:tr w:rsidR="00CF2642" w:rsidRPr="0058197B" w14:paraId="1882E8DF" w14:textId="77777777" w:rsidTr="0058197B">
        <w:tc>
          <w:tcPr>
            <w:tcW w:w="9396" w:type="dxa"/>
            <w:gridSpan w:val="3"/>
          </w:tcPr>
          <w:p w14:paraId="42963BDA"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Teaching Language (regular)</w:t>
            </w:r>
            <w:r w:rsidRPr="00EC2718">
              <w:rPr>
                <w:rStyle w:val="FootnoteReference"/>
                <w:rFonts w:cs="Calibri"/>
                <w:color w:val="000000" w:themeColor="text1"/>
              </w:rPr>
              <w:footnoteReference w:id="3"/>
            </w:r>
            <w:r w:rsidRPr="00EC2718">
              <w:rPr>
                <w:rFonts w:cs="Calibri"/>
                <w:color w:val="000000" w:themeColor="text1"/>
              </w:rPr>
              <w:t xml:space="preserve">: </w:t>
            </w:r>
            <w:r w:rsidRPr="00CA61B6">
              <w:rPr>
                <w:rFonts w:cs="Calibri"/>
                <w:b/>
                <w:bCs/>
                <w:color w:val="000000" w:themeColor="text1"/>
              </w:rPr>
              <w:t>Ukrainian</w:t>
            </w:r>
            <w:r w:rsidRPr="00EC2718">
              <w:rPr>
                <w:rFonts w:cs="Calibri"/>
                <w:color w:val="000000" w:themeColor="text1"/>
              </w:rPr>
              <w:t xml:space="preserve"> </w:t>
            </w:r>
          </w:p>
        </w:tc>
      </w:tr>
      <w:tr w:rsidR="00CF2642" w:rsidRPr="0058197B" w14:paraId="538C2B3B" w14:textId="77777777" w:rsidTr="0058197B">
        <w:tc>
          <w:tcPr>
            <w:tcW w:w="9396" w:type="dxa"/>
            <w:gridSpan w:val="3"/>
          </w:tcPr>
          <w:p w14:paraId="712C8235" w14:textId="543660CB" w:rsidR="00CF2642" w:rsidRPr="00EC2718" w:rsidRDefault="00CF2642" w:rsidP="0058197B">
            <w:pPr>
              <w:spacing w:after="0" w:line="240" w:lineRule="auto"/>
              <w:rPr>
                <w:rFonts w:cs="Calibri"/>
                <w:color w:val="000000" w:themeColor="text1"/>
              </w:rPr>
            </w:pPr>
            <w:r w:rsidRPr="00EC2718">
              <w:rPr>
                <w:rFonts w:cs="Calibri"/>
                <w:color w:val="000000" w:themeColor="text1"/>
              </w:rPr>
              <w:t>Teaching Methods (regular):</w:t>
            </w:r>
            <w:r w:rsidRPr="00EC2718">
              <w:rPr>
                <w:rStyle w:val="FootnoteReference"/>
                <w:rFonts w:cs="Calibri"/>
                <w:color w:val="000000" w:themeColor="text1"/>
              </w:rPr>
              <w:footnoteReference w:id="4"/>
            </w:r>
            <w:r w:rsidRPr="00EC2718">
              <w:rPr>
                <w:color w:val="000000" w:themeColor="text1"/>
              </w:rPr>
              <w:t xml:space="preserve"> </w:t>
            </w:r>
            <w:r w:rsidR="00CA61B6">
              <w:t xml:space="preserve"> </w:t>
            </w:r>
            <w:r w:rsidR="00CA61B6" w:rsidRPr="00CA61B6">
              <w:rPr>
                <w:b/>
                <w:bCs/>
                <w:color w:val="000000" w:themeColor="text1"/>
              </w:rPr>
              <w:t>Presentation, discussion, seminar paper. Panoramic introduction of students to the literary process and its "testimony" based on concrete texts and the artistic experience of the participants of that process (works, biographies, sketches, essays, etc., as well as painting, music, theater, film, etc.).</w:t>
            </w:r>
          </w:p>
        </w:tc>
      </w:tr>
      <w:tr w:rsidR="00CF2642" w:rsidRPr="0058197B" w14:paraId="0B5D539B" w14:textId="77777777" w:rsidTr="0058197B">
        <w:tc>
          <w:tcPr>
            <w:tcW w:w="3132" w:type="dxa"/>
          </w:tcPr>
          <w:p w14:paraId="43635990"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Teaching:</w:t>
            </w:r>
          </w:p>
        </w:tc>
        <w:tc>
          <w:tcPr>
            <w:tcW w:w="3132" w:type="dxa"/>
          </w:tcPr>
          <w:p w14:paraId="556FCF10"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Weekly (hours)</w:t>
            </w:r>
          </w:p>
        </w:tc>
        <w:tc>
          <w:tcPr>
            <w:tcW w:w="3132" w:type="dxa"/>
          </w:tcPr>
          <w:p w14:paraId="3D678C47"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Semester (hours)</w:t>
            </w:r>
          </w:p>
          <w:p w14:paraId="487D561C" w14:textId="77777777" w:rsidR="00CF2642" w:rsidRPr="00EC2718" w:rsidRDefault="00CF2642" w:rsidP="0058197B">
            <w:pPr>
              <w:spacing w:after="0" w:line="240" w:lineRule="auto"/>
              <w:rPr>
                <w:rFonts w:cs="Calibri"/>
                <w:color w:val="000000" w:themeColor="text1"/>
              </w:rPr>
            </w:pPr>
          </w:p>
        </w:tc>
      </w:tr>
      <w:tr w:rsidR="00CF2642" w:rsidRPr="0058197B" w14:paraId="4A909F61" w14:textId="77777777" w:rsidTr="0058197B">
        <w:tc>
          <w:tcPr>
            <w:tcW w:w="3132" w:type="dxa"/>
          </w:tcPr>
          <w:p w14:paraId="165D1636"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Lectures:</w:t>
            </w:r>
          </w:p>
        </w:tc>
        <w:tc>
          <w:tcPr>
            <w:tcW w:w="3132" w:type="dxa"/>
          </w:tcPr>
          <w:p w14:paraId="0C29D23D"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3</w:t>
            </w:r>
          </w:p>
        </w:tc>
        <w:tc>
          <w:tcPr>
            <w:tcW w:w="3132" w:type="dxa"/>
          </w:tcPr>
          <w:p w14:paraId="3B731F9D"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45</w:t>
            </w:r>
          </w:p>
        </w:tc>
      </w:tr>
      <w:tr w:rsidR="00CF2642" w:rsidRPr="0058197B" w14:paraId="10A6BE70" w14:textId="77777777" w:rsidTr="0058197B">
        <w:tc>
          <w:tcPr>
            <w:tcW w:w="3132" w:type="dxa"/>
          </w:tcPr>
          <w:p w14:paraId="293F21CF"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Exercises:</w:t>
            </w:r>
          </w:p>
        </w:tc>
        <w:tc>
          <w:tcPr>
            <w:tcW w:w="3132" w:type="dxa"/>
          </w:tcPr>
          <w:p w14:paraId="7600C64E"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0</w:t>
            </w:r>
          </w:p>
        </w:tc>
        <w:tc>
          <w:tcPr>
            <w:tcW w:w="3132" w:type="dxa"/>
          </w:tcPr>
          <w:p w14:paraId="16C4A2D0"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0</w:t>
            </w:r>
          </w:p>
        </w:tc>
      </w:tr>
      <w:tr w:rsidR="00CF2642" w:rsidRPr="0058197B" w14:paraId="4060F86E" w14:textId="77777777" w:rsidTr="0058197B">
        <w:tc>
          <w:tcPr>
            <w:tcW w:w="3132" w:type="dxa"/>
          </w:tcPr>
          <w:p w14:paraId="67E47CFE"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Seminars:</w:t>
            </w:r>
          </w:p>
        </w:tc>
        <w:tc>
          <w:tcPr>
            <w:tcW w:w="3132" w:type="dxa"/>
          </w:tcPr>
          <w:p w14:paraId="439BFFDA"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1</w:t>
            </w:r>
          </w:p>
        </w:tc>
        <w:tc>
          <w:tcPr>
            <w:tcW w:w="3132" w:type="dxa"/>
          </w:tcPr>
          <w:p w14:paraId="52B33765"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15</w:t>
            </w:r>
          </w:p>
        </w:tc>
      </w:tr>
      <w:tr w:rsidR="00CF2642" w:rsidRPr="0058197B" w14:paraId="7A7B4557" w14:textId="77777777" w:rsidTr="0058197B">
        <w:tc>
          <w:tcPr>
            <w:tcW w:w="9396" w:type="dxa"/>
            <w:gridSpan w:val="3"/>
          </w:tcPr>
          <w:p w14:paraId="63276C86"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 xml:space="preserve">ECTS: </w:t>
            </w:r>
            <w:r w:rsidRPr="00CA61B6">
              <w:rPr>
                <w:rFonts w:cs="Calibri"/>
                <w:b/>
                <w:bCs/>
                <w:color w:val="000000" w:themeColor="text1"/>
              </w:rPr>
              <w:t>5</w:t>
            </w:r>
          </w:p>
        </w:tc>
      </w:tr>
      <w:tr w:rsidR="00CF2642" w:rsidRPr="0058197B" w14:paraId="582420C9" w14:textId="77777777" w:rsidTr="0058197B">
        <w:tc>
          <w:tcPr>
            <w:tcW w:w="9396" w:type="dxa"/>
            <w:gridSpan w:val="3"/>
          </w:tcPr>
          <w:p w14:paraId="662013B0" w14:textId="77777777" w:rsidR="00CF2642" w:rsidRPr="00EC2718" w:rsidRDefault="00CF2642" w:rsidP="00C765AD">
            <w:pPr>
              <w:spacing w:after="0" w:line="240" w:lineRule="auto"/>
              <w:rPr>
                <w:rFonts w:cs="Calibri"/>
                <w:color w:val="000000" w:themeColor="text1"/>
              </w:rPr>
            </w:pPr>
            <w:r w:rsidRPr="00EC2718">
              <w:rPr>
                <w:rFonts w:cs="Calibri"/>
                <w:color w:val="000000" w:themeColor="text1"/>
              </w:rPr>
              <w:t>Teaching language and level</w:t>
            </w:r>
            <w:r w:rsidRPr="00EC2718">
              <w:rPr>
                <w:rStyle w:val="FootnoteReference"/>
                <w:rFonts w:cs="Calibri"/>
                <w:color w:val="000000" w:themeColor="text1"/>
              </w:rPr>
              <w:footnoteReference w:id="5"/>
            </w:r>
            <w:r w:rsidRPr="00EC2718">
              <w:rPr>
                <w:rFonts w:cs="Calibri"/>
                <w:color w:val="000000" w:themeColor="text1"/>
              </w:rPr>
              <w:t xml:space="preserve">  for guest (exchange) students: C1</w:t>
            </w:r>
          </w:p>
          <w:p w14:paraId="77A03527" w14:textId="77777777" w:rsidR="00CF2642" w:rsidRPr="00EC2718" w:rsidRDefault="00CF2642" w:rsidP="0058197B">
            <w:pPr>
              <w:spacing w:after="0" w:line="240" w:lineRule="auto"/>
              <w:rPr>
                <w:rFonts w:cs="Calibri"/>
                <w:color w:val="000000" w:themeColor="text1"/>
              </w:rPr>
            </w:pPr>
          </w:p>
        </w:tc>
      </w:tr>
      <w:tr w:rsidR="00CF2642" w:rsidRPr="0058197B" w14:paraId="4310CA76" w14:textId="77777777" w:rsidTr="0058197B">
        <w:tc>
          <w:tcPr>
            <w:tcW w:w="9396" w:type="dxa"/>
            <w:gridSpan w:val="3"/>
          </w:tcPr>
          <w:p w14:paraId="7D0AB687"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Teaching Methods</w:t>
            </w:r>
            <w:r w:rsidRPr="00EC2718">
              <w:rPr>
                <w:rStyle w:val="FootnoteReference"/>
                <w:rFonts w:cs="Calibri"/>
                <w:color w:val="000000" w:themeColor="text1"/>
              </w:rPr>
              <w:footnoteReference w:id="6"/>
            </w:r>
            <w:r w:rsidRPr="00EC2718">
              <w:rPr>
                <w:rFonts w:cs="Calibri"/>
                <w:color w:val="000000" w:themeColor="text1"/>
              </w:rPr>
              <w:t xml:space="preserve"> for guest (exchange) students: L2</w:t>
            </w:r>
          </w:p>
          <w:p w14:paraId="1F094E62" w14:textId="77777777" w:rsidR="00CF2642" w:rsidRPr="00EC2718" w:rsidRDefault="00CF2642" w:rsidP="0058197B">
            <w:pPr>
              <w:tabs>
                <w:tab w:val="left" w:pos="1505"/>
              </w:tabs>
              <w:spacing w:after="0" w:line="240" w:lineRule="auto"/>
              <w:rPr>
                <w:rFonts w:cs="Calibri"/>
                <w:color w:val="000000" w:themeColor="text1"/>
              </w:rPr>
            </w:pPr>
            <w:r w:rsidRPr="00EC2718">
              <w:rPr>
                <w:rFonts w:cs="Calibri"/>
                <w:color w:val="000000" w:themeColor="text1"/>
              </w:rPr>
              <w:tab/>
            </w:r>
          </w:p>
        </w:tc>
      </w:tr>
      <w:tr w:rsidR="00CF2642" w:rsidRPr="0058197B" w14:paraId="2EBD281C" w14:textId="77777777" w:rsidTr="0058197B">
        <w:tc>
          <w:tcPr>
            <w:tcW w:w="9396" w:type="dxa"/>
            <w:gridSpan w:val="3"/>
          </w:tcPr>
          <w:p w14:paraId="7633E7EE" w14:textId="5FB5E0F6" w:rsidR="00CF2642" w:rsidRPr="00EC2718" w:rsidRDefault="00CF2642" w:rsidP="000351EC">
            <w:pPr>
              <w:spacing w:after="0" w:line="240" w:lineRule="auto"/>
              <w:rPr>
                <w:rFonts w:cs="Calibri"/>
                <w:color w:val="000000" w:themeColor="text1"/>
              </w:rPr>
            </w:pPr>
            <w:r w:rsidRPr="00EC2718">
              <w:rPr>
                <w:rFonts w:cs="Calibri"/>
                <w:color w:val="000000" w:themeColor="text1"/>
              </w:rPr>
              <w:t>Evaluation Methods</w:t>
            </w:r>
            <w:r w:rsidRPr="00EC2718">
              <w:rPr>
                <w:rStyle w:val="FootnoteReference"/>
                <w:rFonts w:cs="Calibri"/>
                <w:color w:val="000000" w:themeColor="text1"/>
              </w:rPr>
              <w:footnoteReference w:id="7"/>
            </w:r>
            <w:r w:rsidRPr="00EC2718">
              <w:rPr>
                <w:rFonts w:cs="Calibri"/>
                <w:color w:val="000000" w:themeColor="text1"/>
              </w:rPr>
              <w:t xml:space="preserve"> and Grading</w:t>
            </w:r>
            <w:r w:rsidRPr="00EC2718">
              <w:rPr>
                <w:rStyle w:val="FootnoteReference"/>
                <w:rFonts w:cs="Calibri"/>
                <w:color w:val="000000" w:themeColor="text1"/>
              </w:rPr>
              <w:footnoteReference w:id="8"/>
            </w:r>
            <w:r w:rsidRPr="00EC2718">
              <w:rPr>
                <w:rFonts w:cs="Calibri"/>
                <w:color w:val="000000" w:themeColor="text1"/>
              </w:rPr>
              <w:t>:</w:t>
            </w:r>
            <w:r w:rsidRPr="00EC2718">
              <w:rPr>
                <w:color w:val="000000" w:themeColor="text1"/>
              </w:rPr>
              <w:t xml:space="preserve"> </w:t>
            </w:r>
            <w:r w:rsidR="00CA61B6" w:rsidRPr="00CA61B6">
              <w:t xml:space="preserve"> </w:t>
            </w:r>
            <w:r w:rsidR="00CA61B6" w:rsidRPr="00CA61B6">
              <w:rPr>
                <w:rFonts w:cs="Calibri"/>
                <w:b/>
                <w:bCs/>
                <w:color w:val="000000" w:themeColor="text1"/>
              </w:rPr>
              <w:t>seminar class participation</w:t>
            </w:r>
            <w:r w:rsidR="00CA61B6" w:rsidRPr="00CA61B6">
              <w:rPr>
                <w:rFonts w:cs="Calibri"/>
                <w:b/>
                <w:bCs/>
                <w:color w:val="000000" w:themeColor="text1"/>
              </w:rPr>
              <w:t>, colloquium, oral exam</w:t>
            </w:r>
          </w:p>
          <w:p w14:paraId="40559836" w14:textId="77777777" w:rsidR="00CF2642" w:rsidRPr="00EC2718" w:rsidRDefault="00CF2642" w:rsidP="0058197B">
            <w:pPr>
              <w:spacing w:after="0" w:line="240" w:lineRule="auto"/>
              <w:rPr>
                <w:rFonts w:cs="Calibri"/>
                <w:color w:val="000000" w:themeColor="text1"/>
              </w:rPr>
            </w:pPr>
          </w:p>
        </w:tc>
      </w:tr>
      <w:tr w:rsidR="00CF2642" w:rsidRPr="0058197B" w14:paraId="7453CF3C" w14:textId="77777777" w:rsidTr="00CA61B6">
        <w:trPr>
          <w:trHeight w:val="1408"/>
        </w:trPr>
        <w:tc>
          <w:tcPr>
            <w:tcW w:w="9396" w:type="dxa"/>
            <w:gridSpan w:val="3"/>
          </w:tcPr>
          <w:p w14:paraId="15712480" w14:textId="77777777" w:rsidR="00CA61B6" w:rsidRDefault="00CF2642" w:rsidP="0058197B">
            <w:pPr>
              <w:spacing w:after="0" w:line="240" w:lineRule="auto"/>
              <w:jc w:val="both"/>
              <w:rPr>
                <w:color w:val="000000" w:themeColor="text1"/>
              </w:rPr>
            </w:pPr>
            <w:r w:rsidRPr="00EC2718">
              <w:rPr>
                <w:rFonts w:cs="Calibri"/>
                <w:color w:val="000000" w:themeColor="text1"/>
              </w:rPr>
              <w:lastRenderedPageBreak/>
              <w:t xml:space="preserve">Learning Outcomes: </w:t>
            </w:r>
            <w:r w:rsidRPr="00EC2718">
              <w:rPr>
                <w:color w:val="000000" w:themeColor="text1"/>
              </w:rPr>
              <w:t xml:space="preserve"> </w:t>
            </w:r>
          </w:p>
          <w:p w14:paraId="6BCF9B65" w14:textId="77777777" w:rsidR="00CA61B6" w:rsidRDefault="00CA61B6" w:rsidP="0058197B">
            <w:pPr>
              <w:spacing w:after="0" w:line="240" w:lineRule="auto"/>
              <w:jc w:val="both"/>
              <w:rPr>
                <w:rFonts w:cs="Calibri"/>
                <w:color w:val="000000" w:themeColor="text1"/>
              </w:rPr>
            </w:pPr>
          </w:p>
          <w:p w14:paraId="29B88181" w14:textId="3091FE25" w:rsidR="00CF2642" w:rsidRPr="00CA61B6" w:rsidRDefault="00CF2642" w:rsidP="0058197B">
            <w:pPr>
              <w:spacing w:after="0" w:line="240" w:lineRule="auto"/>
              <w:jc w:val="both"/>
              <w:rPr>
                <w:rFonts w:cs="Calibri"/>
                <w:b/>
                <w:bCs/>
                <w:color w:val="000000" w:themeColor="text1"/>
              </w:rPr>
            </w:pPr>
            <w:r w:rsidRPr="00CA61B6">
              <w:rPr>
                <w:rFonts w:cs="Calibri"/>
                <w:b/>
                <w:bCs/>
                <w:color w:val="000000" w:themeColor="text1"/>
              </w:rPr>
              <w:t>The student will be able to explain the historical and cultural circumstances that preceded the Ukrainian literature of this period, name the basic literary directions and genre-specific features and connect the literary process of the given period with the philosophical thought of the XX-XXI century Ukrainian and European society.</w:t>
            </w:r>
          </w:p>
          <w:p w14:paraId="264D08B5" w14:textId="77777777" w:rsidR="00CF2642" w:rsidRPr="00EC2718" w:rsidRDefault="00CF2642" w:rsidP="0058197B">
            <w:pPr>
              <w:spacing w:after="0" w:line="240" w:lineRule="auto"/>
              <w:rPr>
                <w:rFonts w:cs="Calibri"/>
                <w:color w:val="000000" w:themeColor="text1"/>
              </w:rPr>
            </w:pPr>
          </w:p>
        </w:tc>
      </w:tr>
      <w:tr w:rsidR="00CF2642" w:rsidRPr="00B652D3" w14:paraId="60A6D179" w14:textId="77777777" w:rsidTr="0058197B">
        <w:tc>
          <w:tcPr>
            <w:tcW w:w="9396" w:type="dxa"/>
            <w:gridSpan w:val="3"/>
          </w:tcPr>
          <w:p w14:paraId="4E421593" w14:textId="77777777" w:rsidR="00CF2642" w:rsidRPr="00EC2718" w:rsidRDefault="00CF2642" w:rsidP="0058197B">
            <w:pPr>
              <w:spacing w:after="0" w:line="240" w:lineRule="auto"/>
              <w:rPr>
                <w:rFonts w:cs="Calibri"/>
                <w:color w:val="000000" w:themeColor="text1"/>
              </w:rPr>
            </w:pPr>
            <w:r w:rsidRPr="00EC2718">
              <w:rPr>
                <w:rFonts w:cs="Calibri"/>
                <w:color w:val="000000" w:themeColor="text1"/>
              </w:rPr>
              <w:t>Literature:</w:t>
            </w:r>
          </w:p>
          <w:p w14:paraId="7860AACF" w14:textId="7775268D" w:rsidR="00CA61B6" w:rsidRPr="00CA61B6" w:rsidRDefault="00CF2642" w:rsidP="00CA61B6">
            <w:pPr>
              <w:numPr>
                <w:ilvl w:val="0"/>
                <w:numId w:val="4"/>
              </w:numPr>
              <w:spacing w:after="0" w:line="360" w:lineRule="auto"/>
              <w:rPr>
                <w:rFonts w:ascii="Times New Roman" w:eastAsia="等?" w:hAnsi="Times New Roman" w:cs="Calibri"/>
                <w:b/>
                <w:bCs/>
                <w:color w:val="000000" w:themeColor="text1"/>
                <w:lang w:eastAsia="zh-CN"/>
              </w:rPr>
            </w:pPr>
            <w:r w:rsidRPr="00CA61B6">
              <w:rPr>
                <w:rFonts w:ascii="Times New Roman" w:eastAsia="等?" w:hAnsi="Times New Roman" w:cs="Calibri"/>
                <w:b/>
                <w:bCs/>
                <w:color w:val="000000" w:themeColor="text1"/>
                <w:lang w:val="az-Cyrl-AZ" w:eastAsia="zh-CN"/>
              </w:rPr>
              <w:t xml:space="preserve"> </w:t>
            </w:r>
            <w:r w:rsidR="00CA61B6" w:rsidRPr="00CA61B6">
              <w:rPr>
                <w:rFonts w:ascii="Times New Roman" w:eastAsia="Times New Roman" w:hAnsi="Times New Roman" w:cs="Times New Roman"/>
                <w:sz w:val="24"/>
                <w:szCs w:val="24"/>
              </w:rPr>
              <w:t xml:space="preserve"> </w:t>
            </w:r>
            <w:r w:rsidR="00CA61B6" w:rsidRPr="00CA61B6">
              <w:rPr>
                <w:rFonts w:ascii="Times New Roman" w:eastAsia="等?" w:hAnsi="Times New Roman" w:cs="Calibri"/>
                <w:b/>
                <w:bCs/>
                <w:color w:val="000000" w:themeColor="text1"/>
                <w:lang w:eastAsia="zh-CN"/>
              </w:rPr>
              <w:t>Istorija ukrajins’koji literatury XX – poč. XXI st., I-III (2013-2017) – Kyjiv</w:t>
            </w:r>
          </w:p>
          <w:p w14:paraId="2F85BBCA" w14:textId="77777777" w:rsidR="00CA61B6" w:rsidRPr="00CA61B6" w:rsidRDefault="00CA61B6" w:rsidP="00CA61B6">
            <w:pPr>
              <w:numPr>
                <w:ilvl w:val="0"/>
                <w:numId w:val="4"/>
              </w:numPr>
              <w:spacing w:after="0" w:line="360" w:lineRule="auto"/>
              <w:rPr>
                <w:rFonts w:ascii="Times New Roman" w:eastAsia="等?" w:hAnsi="Times New Roman" w:cs="Calibri"/>
                <w:b/>
                <w:bCs/>
                <w:color w:val="000000" w:themeColor="text1"/>
                <w:lang w:eastAsia="zh-CN"/>
              </w:rPr>
            </w:pPr>
            <w:r w:rsidRPr="00CA61B6">
              <w:rPr>
                <w:rFonts w:ascii="Times New Roman" w:eastAsia="等?" w:hAnsi="Times New Roman" w:cs="Calibri"/>
                <w:b/>
                <w:bCs/>
                <w:color w:val="000000" w:themeColor="text1"/>
                <w:lang w:eastAsia="zh-CN"/>
              </w:rPr>
              <w:t>Pavlyčko, S. (1999) Dyskurs modernizmu v ukrajins’kij literaturi. – Kyjiv</w:t>
            </w:r>
          </w:p>
          <w:p w14:paraId="38820023" w14:textId="77777777" w:rsidR="00CA61B6" w:rsidRPr="00CA61B6" w:rsidRDefault="00CA61B6" w:rsidP="00CA61B6">
            <w:pPr>
              <w:numPr>
                <w:ilvl w:val="0"/>
                <w:numId w:val="4"/>
              </w:numPr>
              <w:spacing w:after="0" w:line="360" w:lineRule="auto"/>
              <w:rPr>
                <w:rFonts w:ascii="Times New Roman" w:eastAsia="等?" w:hAnsi="Times New Roman" w:cs="Calibri"/>
                <w:b/>
                <w:bCs/>
                <w:color w:val="000000" w:themeColor="text1"/>
                <w:lang w:eastAsia="zh-CN"/>
              </w:rPr>
            </w:pPr>
            <w:r w:rsidRPr="00CA61B6">
              <w:rPr>
                <w:rFonts w:ascii="Times New Roman" w:eastAsia="等?" w:hAnsi="Times New Roman" w:cs="Calibri"/>
                <w:b/>
                <w:bCs/>
                <w:color w:val="000000" w:themeColor="text1"/>
                <w:lang w:eastAsia="zh-CN"/>
              </w:rPr>
              <w:t>Antologija svitovoji literaturno-krytyčnoji dumky (1996) Za red. M. Zubryc’koji – L’viv</w:t>
            </w:r>
          </w:p>
          <w:p w14:paraId="7E42B857" w14:textId="6E4C0AB1" w:rsidR="00CF2642" w:rsidRPr="00CA61B6" w:rsidRDefault="00CF2642" w:rsidP="00CA61B6">
            <w:pPr>
              <w:spacing w:after="0" w:line="360" w:lineRule="auto"/>
              <w:rPr>
                <w:rFonts w:ascii="Times New Roman" w:eastAsia="等?" w:hAnsi="Times New Roman" w:cs="Times New Roman"/>
                <w:b/>
                <w:bCs/>
                <w:i/>
                <w:iCs/>
                <w:color w:val="000000" w:themeColor="text1"/>
                <w:lang w:val="az-Cyrl-AZ" w:eastAsia="zh-CN"/>
              </w:rPr>
            </w:pPr>
          </w:p>
        </w:tc>
      </w:tr>
    </w:tbl>
    <w:p w14:paraId="7ABEF023" w14:textId="77777777" w:rsidR="00CF2642" w:rsidRPr="00BA675C" w:rsidRDefault="00CF2642" w:rsidP="00714366">
      <w:pPr>
        <w:rPr>
          <w:lang w:val="az-Cyrl-AZ"/>
        </w:rPr>
      </w:pPr>
    </w:p>
    <w:sectPr w:rsidR="00CF2642" w:rsidRPr="00BA675C" w:rsidSect="00C8306D">
      <w:headerReference w:type="default" r:id="rId7"/>
      <w:pgSz w:w="12240" w:h="15840"/>
      <w:pgMar w:top="1134" w:right="1417" w:bottom="142"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0BA4" w14:textId="77777777" w:rsidR="009C157F" w:rsidRDefault="009C157F" w:rsidP="00714366">
      <w:pPr>
        <w:spacing w:after="0" w:line="240" w:lineRule="auto"/>
      </w:pPr>
      <w:r>
        <w:separator/>
      </w:r>
    </w:p>
  </w:endnote>
  <w:endnote w:type="continuationSeparator" w:id="0">
    <w:p w14:paraId="699BEAEB" w14:textId="77777777" w:rsidR="009C157F" w:rsidRDefault="009C157F"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等?">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FE3E" w14:textId="77777777" w:rsidR="009C157F" w:rsidRDefault="009C157F" w:rsidP="00714366">
      <w:pPr>
        <w:spacing w:after="0" w:line="240" w:lineRule="auto"/>
      </w:pPr>
      <w:r>
        <w:separator/>
      </w:r>
    </w:p>
  </w:footnote>
  <w:footnote w:type="continuationSeparator" w:id="0">
    <w:p w14:paraId="5FA8752C" w14:textId="77777777" w:rsidR="009C157F" w:rsidRDefault="009C157F" w:rsidP="00714366">
      <w:pPr>
        <w:spacing w:after="0" w:line="240" w:lineRule="auto"/>
      </w:pPr>
      <w:r>
        <w:continuationSeparator/>
      </w:r>
    </w:p>
  </w:footnote>
  <w:footnote w:id="1">
    <w:p w14:paraId="17303B9B" w14:textId="77777777" w:rsidR="00CF2642" w:rsidRDefault="00CF2642" w:rsidP="007E09CB">
      <w:pPr>
        <w:spacing w:after="0" w:line="240" w:lineRule="auto"/>
        <w:jc w:val="both"/>
      </w:pPr>
      <w:r w:rsidRPr="00D12733">
        <w:rPr>
          <w:rStyle w:val="FootnoteReference"/>
          <w:rFonts w:cs="Myanmar Text"/>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306B5E0F" w14:textId="77777777" w:rsidR="00CF2642" w:rsidRDefault="00CF2642" w:rsidP="007E09CB">
      <w:pPr>
        <w:spacing w:after="0" w:line="240" w:lineRule="auto"/>
        <w:jc w:val="both"/>
      </w:pPr>
      <w:r w:rsidRPr="00D12733">
        <w:rPr>
          <w:rStyle w:val="FootnoteReference"/>
          <w:rFonts w:cs="Myanmar Text"/>
          <w:sz w:val="20"/>
          <w:szCs w:val="20"/>
        </w:rPr>
        <w:footnoteRef/>
      </w:r>
      <w:r w:rsidRPr="00D12733">
        <w:rPr>
          <w:sz w:val="20"/>
          <w:szCs w:val="20"/>
        </w:rPr>
        <w:t xml:space="preserve"> Winter, Summer, Academic Year</w:t>
      </w:r>
    </w:p>
  </w:footnote>
  <w:footnote w:id="3">
    <w:p w14:paraId="22043A7F" w14:textId="77777777" w:rsidR="00CF2642" w:rsidRDefault="00CF2642" w:rsidP="007E09CB">
      <w:pPr>
        <w:pStyle w:val="FootnoteText"/>
        <w:jc w:val="both"/>
      </w:pPr>
      <w:r>
        <w:rPr>
          <w:rStyle w:val="FootnoteReference"/>
          <w:rFonts w:cs="Myanmar Text"/>
        </w:rPr>
        <w:footnoteRef/>
      </w:r>
      <w:r>
        <w:t xml:space="preserve"> Teaching language according to the regular programme (e.g. Croatian, French, Slovenian…)</w:t>
      </w:r>
    </w:p>
  </w:footnote>
  <w:footnote w:id="4">
    <w:p w14:paraId="1744D3D6" w14:textId="77777777" w:rsidR="00CF2642" w:rsidRDefault="00CF2642" w:rsidP="007E09CB">
      <w:pPr>
        <w:pStyle w:val="FootnoteText"/>
        <w:jc w:val="both"/>
      </w:pPr>
      <w:r w:rsidRPr="00D12733">
        <w:rPr>
          <w:rStyle w:val="FootnoteReference"/>
          <w:rFonts w:cs="Myanmar Text"/>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467F66F9" w14:textId="77777777" w:rsidR="00CF2642" w:rsidRDefault="00CF2642" w:rsidP="007E09CB">
      <w:pPr>
        <w:pStyle w:val="FootnoteText"/>
        <w:jc w:val="both"/>
      </w:pPr>
      <w:r w:rsidRPr="00D12733">
        <w:rPr>
          <w:rStyle w:val="FootnoteReference"/>
          <w:rFonts w:cs="Myanmar Text"/>
        </w:rPr>
        <w:footnoteRef/>
      </w:r>
      <w:r w:rsidRPr="00D12733">
        <w:t xml:space="preserve"> </w:t>
      </w:r>
      <w:r w:rsidRPr="00D12733">
        <w:rPr>
          <w:lang w:val="hr-HR"/>
        </w:rPr>
        <w:t>According to CEFR (e.g. English B2, German C1…)</w:t>
      </w:r>
    </w:p>
  </w:footnote>
  <w:footnote w:id="6">
    <w:p w14:paraId="209E3B12" w14:textId="77777777" w:rsidR="00CF2642" w:rsidRDefault="00CF2642" w:rsidP="007E09CB">
      <w:pPr>
        <w:pStyle w:val="FootnoteText"/>
        <w:jc w:val="both"/>
      </w:pPr>
      <w:r w:rsidRPr="00D12733">
        <w:rPr>
          <w:rStyle w:val="FootnoteReference"/>
          <w:rFonts w:cs="Myanmar Text"/>
        </w:rPr>
        <w:footnoteRef/>
      </w:r>
      <w:r>
        <w:t xml:space="preserve"> </w:t>
      </w:r>
      <w:r w:rsidRPr="00D933EA">
        <w:rPr>
          <w:b/>
        </w:rPr>
        <w:t>Language options for guest (exchange) students):</w:t>
      </w:r>
    </w:p>
    <w:p w14:paraId="714CE87E" w14:textId="77777777" w:rsidR="00CF2642" w:rsidRPr="00D12733" w:rsidRDefault="00CF2642"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2E802A80" w14:textId="77777777" w:rsidR="00CF2642" w:rsidRDefault="00CF2642" w:rsidP="007E09CB">
      <w:pPr>
        <w:pStyle w:val="FootnoteText"/>
        <w:jc w:val="both"/>
      </w:pPr>
      <w:r w:rsidRPr="00D12733">
        <w:t>L2 - All teaching activities will be held</w:t>
      </w:r>
      <w:r>
        <w:t xml:space="preserve"> </w:t>
      </w:r>
      <w:r w:rsidRPr="00D12733">
        <w:t>in regular teaching language</w:t>
      </w:r>
      <w:r>
        <w:t xml:space="preserve"> only</w:t>
      </w:r>
      <w:r w:rsidRPr="00D12733">
        <w:t>.</w:t>
      </w:r>
    </w:p>
  </w:footnote>
  <w:footnote w:id="7">
    <w:p w14:paraId="05EB4CBE" w14:textId="77777777" w:rsidR="00CF2642" w:rsidRDefault="00CF2642" w:rsidP="007E09CB">
      <w:pPr>
        <w:spacing w:after="0" w:line="240" w:lineRule="auto"/>
        <w:jc w:val="both"/>
      </w:pPr>
      <w:r w:rsidRPr="00D12733">
        <w:rPr>
          <w:rStyle w:val="FootnoteReference"/>
          <w:rFonts w:cs="Myanmar Text"/>
          <w:sz w:val="20"/>
          <w:szCs w:val="20"/>
        </w:rPr>
        <w:footnoteRef/>
      </w:r>
      <w:r w:rsidRPr="00D12733">
        <w:rPr>
          <w:sz w:val="20"/>
          <w:szCs w:val="20"/>
        </w:rPr>
        <w:t xml:space="preserve"> Class attendance, Essay, Preliminary exam, Seminar paper, Practical work, Written exam, Oral Exam, Other (specify)</w:t>
      </w:r>
    </w:p>
  </w:footnote>
  <w:footnote w:id="8">
    <w:p w14:paraId="2EEBB924" w14:textId="77777777" w:rsidR="00CF2642" w:rsidRPr="00D12733" w:rsidRDefault="00CF2642" w:rsidP="007E09CB">
      <w:pPr>
        <w:spacing w:after="0" w:line="240" w:lineRule="auto"/>
        <w:jc w:val="both"/>
        <w:rPr>
          <w:sz w:val="20"/>
          <w:szCs w:val="20"/>
        </w:rPr>
      </w:pPr>
      <w:r w:rsidRPr="00D12733">
        <w:rPr>
          <w:rStyle w:val="FootnoteReference"/>
          <w:rFonts w:cs="Myanmar Text"/>
          <w:sz w:val="20"/>
          <w:szCs w:val="20"/>
        </w:rPr>
        <w:footnoteRef/>
      </w:r>
      <w:r w:rsidRPr="00D12733">
        <w:rPr>
          <w:sz w:val="20"/>
          <w:szCs w:val="20"/>
        </w:rPr>
        <w:t xml:space="preserve"> Standard - the institutional grading system (5 Excellent; 4 Very good; 3 Good; 2 Sufficient; 1 Fail)</w:t>
      </w:r>
    </w:p>
    <w:p w14:paraId="242A62B0" w14:textId="77777777" w:rsidR="00CF2642" w:rsidRPr="00D12733" w:rsidRDefault="00CF2642" w:rsidP="007E09CB">
      <w:pPr>
        <w:spacing w:after="0" w:line="240" w:lineRule="auto"/>
        <w:jc w:val="both"/>
        <w:rPr>
          <w:sz w:val="20"/>
          <w:szCs w:val="20"/>
        </w:rPr>
      </w:pPr>
      <w:r w:rsidRPr="00D12733">
        <w:rPr>
          <w:sz w:val="20"/>
          <w:szCs w:val="20"/>
        </w:rPr>
        <w:t xml:space="preserve">Additional: </w:t>
      </w:r>
    </w:p>
    <w:p w14:paraId="0918ADCB" w14:textId="77777777" w:rsidR="00CF2642" w:rsidRPr="00D12733" w:rsidRDefault="00CF2642" w:rsidP="007E09CB">
      <w:pPr>
        <w:spacing w:after="0" w:line="240" w:lineRule="auto"/>
        <w:jc w:val="both"/>
        <w:rPr>
          <w:sz w:val="20"/>
          <w:szCs w:val="20"/>
        </w:rPr>
      </w:pPr>
      <w:r w:rsidRPr="00D12733">
        <w:rPr>
          <w:sz w:val="20"/>
          <w:szCs w:val="20"/>
        </w:rPr>
        <w:t>RA - Regular Attendance (No ECTS credits awarded for course attendance only)</w:t>
      </w:r>
    </w:p>
    <w:p w14:paraId="12CFEC89" w14:textId="77777777" w:rsidR="00CF2642" w:rsidRPr="00D12733" w:rsidRDefault="00CF2642" w:rsidP="007E09CB">
      <w:pPr>
        <w:spacing w:after="0" w:line="240" w:lineRule="auto"/>
        <w:jc w:val="both"/>
        <w:rPr>
          <w:sz w:val="20"/>
          <w:szCs w:val="20"/>
        </w:rPr>
      </w:pPr>
      <w:r w:rsidRPr="00D12733">
        <w:rPr>
          <w:sz w:val="20"/>
          <w:szCs w:val="20"/>
        </w:rPr>
        <w:t>C - Completed (Student has completed proscribed obligations/no ECTS credits awarded)</w:t>
      </w:r>
    </w:p>
    <w:p w14:paraId="4DB2088E" w14:textId="77777777" w:rsidR="00CF2642" w:rsidRPr="00D12733" w:rsidRDefault="00CF2642" w:rsidP="007E09CB">
      <w:pPr>
        <w:spacing w:after="0" w:line="240" w:lineRule="auto"/>
        <w:jc w:val="both"/>
        <w:rPr>
          <w:sz w:val="20"/>
          <w:szCs w:val="20"/>
        </w:rPr>
      </w:pPr>
      <w:r w:rsidRPr="00D12733">
        <w:rPr>
          <w:sz w:val="20"/>
          <w:szCs w:val="20"/>
        </w:rPr>
        <w:t>C+ – Completed + ECTS (Student has completed proscribed obligations + ECTS credits awarded)</w:t>
      </w:r>
    </w:p>
    <w:p w14:paraId="41FEFFAF" w14:textId="77777777" w:rsidR="00CF2642" w:rsidRDefault="00CF2642" w:rsidP="007E09CB">
      <w:pPr>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CD4F" w14:textId="77777777" w:rsidR="00CF2642" w:rsidRDefault="00CF2642" w:rsidP="00C8306D">
    <w:pPr>
      <w:jc w:val="center"/>
      <w:rPr>
        <w:b/>
        <w:color w:val="0070C0"/>
        <w:sz w:val="36"/>
        <w:szCs w:val="36"/>
      </w:rPr>
    </w:pPr>
  </w:p>
  <w:p w14:paraId="3317554C" w14:textId="77777777" w:rsidR="00CF2642" w:rsidRPr="00C8306D" w:rsidRDefault="00CF2642" w:rsidP="00C8306D">
    <w:pPr>
      <w:jc w:val="center"/>
      <w:rPr>
        <w:b/>
        <w:color w:val="0070C0"/>
        <w:sz w:val="36"/>
        <w:szCs w:val="36"/>
      </w:rPr>
    </w:pPr>
    <w:r>
      <w:rPr>
        <w:b/>
        <w:color w:val="0070C0"/>
        <w:sz w:val="36"/>
        <w:szCs w:val="36"/>
      </w:rPr>
      <w:t>COURSE CATALOGUE FOR GU</w:t>
    </w:r>
    <w:r w:rsidRPr="003E03D6">
      <w:rPr>
        <w:b/>
        <w:color w:val="0070C0"/>
        <w:sz w:val="36"/>
        <w:szCs w:val="36"/>
      </w:rPr>
      <w:t>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0B2"/>
    <w:multiLevelType w:val="hybridMultilevel"/>
    <w:tmpl w:val="CF0CA258"/>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69941A2F"/>
    <w:multiLevelType w:val="hybridMultilevel"/>
    <w:tmpl w:val="4A62FB1C"/>
    <w:lvl w:ilvl="0" w:tplc="041A000F">
      <w:start w:val="1"/>
      <w:numFmt w:val="decimal"/>
      <w:lvlText w:val="%1."/>
      <w:lvlJc w:val="left"/>
      <w:pPr>
        <w:ind w:left="892" w:hanging="360"/>
      </w:pPr>
      <w:rPr>
        <w:rFonts w:cs="Times New Roman"/>
      </w:rPr>
    </w:lvl>
    <w:lvl w:ilvl="1" w:tplc="041A0019" w:tentative="1">
      <w:start w:val="1"/>
      <w:numFmt w:val="lowerLetter"/>
      <w:lvlText w:val="%2."/>
      <w:lvlJc w:val="left"/>
      <w:pPr>
        <w:ind w:left="1612" w:hanging="360"/>
      </w:pPr>
      <w:rPr>
        <w:rFonts w:cs="Times New Roman"/>
      </w:rPr>
    </w:lvl>
    <w:lvl w:ilvl="2" w:tplc="041A001B" w:tentative="1">
      <w:start w:val="1"/>
      <w:numFmt w:val="lowerRoman"/>
      <w:lvlText w:val="%3."/>
      <w:lvlJc w:val="right"/>
      <w:pPr>
        <w:ind w:left="2332" w:hanging="180"/>
      </w:pPr>
      <w:rPr>
        <w:rFonts w:cs="Times New Roman"/>
      </w:rPr>
    </w:lvl>
    <w:lvl w:ilvl="3" w:tplc="041A000F" w:tentative="1">
      <w:start w:val="1"/>
      <w:numFmt w:val="decimal"/>
      <w:lvlText w:val="%4."/>
      <w:lvlJc w:val="left"/>
      <w:pPr>
        <w:ind w:left="3052" w:hanging="360"/>
      </w:pPr>
      <w:rPr>
        <w:rFonts w:cs="Times New Roman"/>
      </w:rPr>
    </w:lvl>
    <w:lvl w:ilvl="4" w:tplc="041A0019" w:tentative="1">
      <w:start w:val="1"/>
      <w:numFmt w:val="lowerLetter"/>
      <w:lvlText w:val="%5."/>
      <w:lvlJc w:val="left"/>
      <w:pPr>
        <w:ind w:left="3772" w:hanging="360"/>
      </w:pPr>
      <w:rPr>
        <w:rFonts w:cs="Times New Roman"/>
      </w:rPr>
    </w:lvl>
    <w:lvl w:ilvl="5" w:tplc="041A001B" w:tentative="1">
      <w:start w:val="1"/>
      <w:numFmt w:val="lowerRoman"/>
      <w:lvlText w:val="%6."/>
      <w:lvlJc w:val="right"/>
      <w:pPr>
        <w:ind w:left="4492" w:hanging="180"/>
      </w:pPr>
      <w:rPr>
        <w:rFonts w:cs="Times New Roman"/>
      </w:rPr>
    </w:lvl>
    <w:lvl w:ilvl="6" w:tplc="041A000F" w:tentative="1">
      <w:start w:val="1"/>
      <w:numFmt w:val="decimal"/>
      <w:lvlText w:val="%7."/>
      <w:lvlJc w:val="left"/>
      <w:pPr>
        <w:ind w:left="5212" w:hanging="360"/>
      </w:pPr>
      <w:rPr>
        <w:rFonts w:cs="Times New Roman"/>
      </w:rPr>
    </w:lvl>
    <w:lvl w:ilvl="7" w:tplc="041A0019" w:tentative="1">
      <w:start w:val="1"/>
      <w:numFmt w:val="lowerLetter"/>
      <w:lvlText w:val="%8."/>
      <w:lvlJc w:val="left"/>
      <w:pPr>
        <w:ind w:left="5932" w:hanging="360"/>
      </w:pPr>
      <w:rPr>
        <w:rFonts w:cs="Times New Roman"/>
      </w:rPr>
    </w:lvl>
    <w:lvl w:ilvl="8" w:tplc="041A001B" w:tentative="1">
      <w:start w:val="1"/>
      <w:numFmt w:val="lowerRoman"/>
      <w:lvlText w:val="%9."/>
      <w:lvlJc w:val="right"/>
      <w:pPr>
        <w:ind w:left="6652" w:hanging="180"/>
      </w:pPr>
      <w:rPr>
        <w:rFonts w:cs="Times New Roman"/>
      </w:rPr>
    </w:lvl>
  </w:abstractNum>
  <w:abstractNum w:abstractNumId="2" w15:restartNumberingAfterBreak="0">
    <w:nsid w:val="6ECE3084"/>
    <w:multiLevelType w:val="multilevel"/>
    <w:tmpl w:val="0910E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6828DB"/>
    <w:multiLevelType w:val="hybridMultilevel"/>
    <w:tmpl w:val="120E071A"/>
    <w:lvl w:ilvl="0" w:tplc="041A000F">
      <w:start w:val="1"/>
      <w:numFmt w:val="decimal"/>
      <w:lvlText w:val="%1."/>
      <w:lvlJc w:val="left"/>
      <w:pPr>
        <w:ind w:left="11" w:hanging="360"/>
      </w:pPr>
      <w:rPr>
        <w:rFonts w:cs="Times New Roman"/>
      </w:rPr>
    </w:lvl>
    <w:lvl w:ilvl="1" w:tplc="041A0019" w:tentative="1">
      <w:start w:val="1"/>
      <w:numFmt w:val="lowerLetter"/>
      <w:lvlText w:val="%2."/>
      <w:lvlJc w:val="left"/>
      <w:pPr>
        <w:ind w:left="731" w:hanging="360"/>
      </w:pPr>
      <w:rPr>
        <w:rFonts w:cs="Times New Roman"/>
      </w:rPr>
    </w:lvl>
    <w:lvl w:ilvl="2" w:tplc="041A001B" w:tentative="1">
      <w:start w:val="1"/>
      <w:numFmt w:val="lowerRoman"/>
      <w:lvlText w:val="%3."/>
      <w:lvlJc w:val="right"/>
      <w:pPr>
        <w:ind w:left="1451" w:hanging="180"/>
      </w:pPr>
      <w:rPr>
        <w:rFonts w:cs="Times New Roman"/>
      </w:rPr>
    </w:lvl>
    <w:lvl w:ilvl="3" w:tplc="041A000F" w:tentative="1">
      <w:start w:val="1"/>
      <w:numFmt w:val="decimal"/>
      <w:lvlText w:val="%4."/>
      <w:lvlJc w:val="left"/>
      <w:pPr>
        <w:ind w:left="2171" w:hanging="360"/>
      </w:pPr>
      <w:rPr>
        <w:rFonts w:cs="Times New Roman"/>
      </w:rPr>
    </w:lvl>
    <w:lvl w:ilvl="4" w:tplc="041A0019" w:tentative="1">
      <w:start w:val="1"/>
      <w:numFmt w:val="lowerLetter"/>
      <w:lvlText w:val="%5."/>
      <w:lvlJc w:val="left"/>
      <w:pPr>
        <w:ind w:left="2891" w:hanging="360"/>
      </w:pPr>
      <w:rPr>
        <w:rFonts w:cs="Times New Roman"/>
      </w:rPr>
    </w:lvl>
    <w:lvl w:ilvl="5" w:tplc="041A001B" w:tentative="1">
      <w:start w:val="1"/>
      <w:numFmt w:val="lowerRoman"/>
      <w:lvlText w:val="%6."/>
      <w:lvlJc w:val="right"/>
      <w:pPr>
        <w:ind w:left="3611" w:hanging="180"/>
      </w:pPr>
      <w:rPr>
        <w:rFonts w:cs="Times New Roman"/>
      </w:rPr>
    </w:lvl>
    <w:lvl w:ilvl="6" w:tplc="041A000F" w:tentative="1">
      <w:start w:val="1"/>
      <w:numFmt w:val="decimal"/>
      <w:lvlText w:val="%7."/>
      <w:lvlJc w:val="left"/>
      <w:pPr>
        <w:ind w:left="4331" w:hanging="360"/>
      </w:pPr>
      <w:rPr>
        <w:rFonts w:cs="Times New Roman"/>
      </w:rPr>
    </w:lvl>
    <w:lvl w:ilvl="7" w:tplc="041A0019" w:tentative="1">
      <w:start w:val="1"/>
      <w:numFmt w:val="lowerLetter"/>
      <w:lvlText w:val="%8."/>
      <w:lvlJc w:val="left"/>
      <w:pPr>
        <w:ind w:left="5051" w:hanging="360"/>
      </w:pPr>
      <w:rPr>
        <w:rFonts w:cs="Times New Roman"/>
      </w:rPr>
    </w:lvl>
    <w:lvl w:ilvl="8" w:tplc="041A001B" w:tentative="1">
      <w:start w:val="1"/>
      <w:numFmt w:val="lowerRoman"/>
      <w:lvlText w:val="%9."/>
      <w:lvlJc w:val="right"/>
      <w:pPr>
        <w:ind w:left="5771" w:hanging="180"/>
      </w:pPr>
      <w:rPr>
        <w:rFonts w:cs="Times New Roman"/>
      </w:rPr>
    </w:lvl>
  </w:abstractNum>
  <w:num w:numId="1" w16cid:durableId="449282029">
    <w:abstractNumId w:val="0"/>
  </w:num>
  <w:num w:numId="2" w16cid:durableId="797069790">
    <w:abstractNumId w:val="3"/>
  </w:num>
  <w:num w:numId="3" w16cid:durableId="1219979429">
    <w:abstractNumId w:val="1"/>
  </w:num>
  <w:num w:numId="4" w16cid:durableId="990013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66"/>
    <w:rsid w:val="00034999"/>
    <w:rsid w:val="000351EC"/>
    <w:rsid w:val="0007245F"/>
    <w:rsid w:val="000F2CEC"/>
    <w:rsid w:val="00120BC5"/>
    <w:rsid w:val="00195BAC"/>
    <w:rsid w:val="001C61AE"/>
    <w:rsid w:val="00230887"/>
    <w:rsid w:val="00297469"/>
    <w:rsid w:val="00307770"/>
    <w:rsid w:val="003461FE"/>
    <w:rsid w:val="003804F7"/>
    <w:rsid w:val="00381EEA"/>
    <w:rsid w:val="00396EED"/>
    <w:rsid w:val="003A75A3"/>
    <w:rsid w:val="003B1E7C"/>
    <w:rsid w:val="003E03D6"/>
    <w:rsid w:val="00465279"/>
    <w:rsid w:val="00525147"/>
    <w:rsid w:val="00575F1F"/>
    <w:rsid w:val="0058197B"/>
    <w:rsid w:val="005D7B91"/>
    <w:rsid w:val="0061468E"/>
    <w:rsid w:val="0062222F"/>
    <w:rsid w:val="0065569D"/>
    <w:rsid w:val="006618ED"/>
    <w:rsid w:val="00662550"/>
    <w:rsid w:val="00662FB4"/>
    <w:rsid w:val="00674587"/>
    <w:rsid w:val="00675172"/>
    <w:rsid w:val="00714366"/>
    <w:rsid w:val="00722312"/>
    <w:rsid w:val="007254DF"/>
    <w:rsid w:val="007756BF"/>
    <w:rsid w:val="007E09CB"/>
    <w:rsid w:val="00822A24"/>
    <w:rsid w:val="00880C71"/>
    <w:rsid w:val="008A393A"/>
    <w:rsid w:val="008C21E0"/>
    <w:rsid w:val="009047B0"/>
    <w:rsid w:val="0092582F"/>
    <w:rsid w:val="0092770B"/>
    <w:rsid w:val="00933642"/>
    <w:rsid w:val="00966206"/>
    <w:rsid w:val="00966E70"/>
    <w:rsid w:val="009C157F"/>
    <w:rsid w:val="009C6004"/>
    <w:rsid w:val="00A000B3"/>
    <w:rsid w:val="00A01504"/>
    <w:rsid w:val="00AB04BF"/>
    <w:rsid w:val="00AC000C"/>
    <w:rsid w:val="00AD64A3"/>
    <w:rsid w:val="00AE4947"/>
    <w:rsid w:val="00AE50B6"/>
    <w:rsid w:val="00B652D3"/>
    <w:rsid w:val="00B801EF"/>
    <w:rsid w:val="00BA675C"/>
    <w:rsid w:val="00BC2B7F"/>
    <w:rsid w:val="00C043C6"/>
    <w:rsid w:val="00C122B0"/>
    <w:rsid w:val="00C64195"/>
    <w:rsid w:val="00C765AD"/>
    <w:rsid w:val="00C8306D"/>
    <w:rsid w:val="00CA61B6"/>
    <w:rsid w:val="00CD030E"/>
    <w:rsid w:val="00CE741A"/>
    <w:rsid w:val="00CF2642"/>
    <w:rsid w:val="00D04735"/>
    <w:rsid w:val="00D06704"/>
    <w:rsid w:val="00D12733"/>
    <w:rsid w:val="00D933EA"/>
    <w:rsid w:val="00E203E8"/>
    <w:rsid w:val="00E471DE"/>
    <w:rsid w:val="00EB4B04"/>
    <w:rsid w:val="00EB59AF"/>
    <w:rsid w:val="00EC2718"/>
    <w:rsid w:val="00EF3067"/>
    <w:rsid w:val="00F117E5"/>
    <w:rsid w:val="00F24889"/>
    <w:rsid w:val="00F929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BD873"/>
  <w15:docId w15:val="{6EFEB431-D55A-4B47-A12A-F31D2249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yanmar Text"/>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ED"/>
    <w:pPr>
      <w:spacing w:after="160" w:line="259" w:lineRule="auto"/>
    </w:pPr>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43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14366"/>
    <w:rPr>
      <w:rFonts w:cs="Times New Roman"/>
      <w:sz w:val="20"/>
      <w:szCs w:val="20"/>
    </w:rPr>
  </w:style>
  <w:style w:type="character" w:styleId="FootnoteReference">
    <w:name w:val="footnote reference"/>
    <w:basedOn w:val="DefaultParagraphFont"/>
    <w:uiPriority w:val="99"/>
    <w:semiHidden/>
    <w:rsid w:val="00714366"/>
    <w:rPr>
      <w:rFonts w:cs="Times New Roman"/>
      <w:vertAlign w:val="superscript"/>
    </w:rPr>
  </w:style>
  <w:style w:type="paragraph" w:styleId="BalloonText">
    <w:name w:val="Balloon Text"/>
    <w:basedOn w:val="Normal"/>
    <w:link w:val="BalloonTextChar"/>
    <w:uiPriority w:val="99"/>
    <w:semiHidden/>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66E70"/>
    <w:rPr>
      <w:rFonts w:ascii="Segoe UI" w:hAnsi="Segoe UI" w:cs="Segoe UI"/>
      <w:sz w:val="18"/>
      <w:szCs w:val="18"/>
    </w:rPr>
  </w:style>
  <w:style w:type="paragraph" w:styleId="ListParagraph">
    <w:name w:val="List Paragraph"/>
    <w:basedOn w:val="Normal"/>
    <w:uiPriority w:val="99"/>
    <w:qFormat/>
    <w:rsid w:val="0065569D"/>
    <w:pPr>
      <w:ind w:left="720"/>
      <w:contextualSpacing/>
    </w:pPr>
  </w:style>
  <w:style w:type="paragraph" w:styleId="Header">
    <w:name w:val="header"/>
    <w:basedOn w:val="Normal"/>
    <w:link w:val="HeaderChar"/>
    <w:uiPriority w:val="99"/>
    <w:rsid w:val="00C8306D"/>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C8306D"/>
    <w:rPr>
      <w:rFonts w:cs="Times New Roman"/>
    </w:rPr>
  </w:style>
  <w:style w:type="paragraph" w:styleId="Footer">
    <w:name w:val="footer"/>
    <w:basedOn w:val="Normal"/>
    <w:link w:val="FooterChar"/>
    <w:uiPriority w:val="99"/>
    <w:rsid w:val="00C8306D"/>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C830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1988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244</Words>
  <Characters>1612</Characters>
  <Application>Microsoft Office Word</Application>
  <DocSecurity>0</DocSecurity>
  <Lines>47</Lines>
  <Paragraphs>33</Paragraphs>
  <ScaleCrop>false</ScaleCrop>
  <HeadingPairs>
    <vt:vector size="2" baseType="variant">
      <vt:variant>
        <vt:lpstr>Title</vt:lpstr>
      </vt:variant>
      <vt:variant>
        <vt:i4>1</vt:i4>
      </vt:variant>
    </vt:vector>
  </HeadingPairs>
  <TitlesOfParts>
    <vt:vector size="1" baseType="lpstr">
      <vt:lpstr>STUDY PROGRAMME:  Ukrainian language and literature</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PROGRAMME:  Ukrainian language and literature</dc:title>
  <dc:creator>Ivana</dc:creator>
  <cp:lastModifiedBy>Pavao Jergović</cp:lastModifiedBy>
  <cp:revision>5</cp:revision>
  <cp:lastPrinted>2019-02-18T13:08:00Z</cp:lastPrinted>
  <dcterms:created xsi:type="dcterms:W3CDTF">2019-03-03T18:52:00Z</dcterms:created>
  <dcterms:modified xsi:type="dcterms:W3CDTF">2026-02-13T14:14:00Z</dcterms:modified>
</cp:coreProperties>
</file>