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31C1" w14:textId="77777777" w:rsidR="008D3C59" w:rsidRDefault="008D3C59" w:rsidP="008D3C59">
      <w:pPr>
        <w:pStyle w:val="Body"/>
        <w:rPr>
          <w:i/>
          <w:noProof/>
          <w:sz w:val="28"/>
          <w:szCs w:val="28"/>
          <w:lang w:val="hr-HR" w:eastAsia="hr-HR"/>
        </w:rPr>
      </w:pPr>
    </w:p>
    <w:p w14:paraId="40BD31C2" w14:textId="77777777" w:rsidR="008D3C59" w:rsidRPr="008B0E39" w:rsidRDefault="008D3C59" w:rsidP="008D3C59">
      <w:pPr>
        <w:pStyle w:val="Body"/>
        <w:rPr>
          <w:rFonts w:cs="UnizgDisplay Normal"/>
          <w:i/>
          <w:sz w:val="28"/>
          <w:szCs w:val="28"/>
          <w:lang w:val="hr-HR"/>
        </w:rPr>
      </w:pPr>
      <w:r w:rsidRPr="008B0E39">
        <w:rPr>
          <w:i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0BD334A" wp14:editId="40BD334B">
            <wp:simplePos x="0" y="0"/>
            <wp:positionH relativeFrom="column">
              <wp:posOffset>-989330</wp:posOffset>
            </wp:positionH>
            <wp:positionV relativeFrom="paragraph">
              <wp:posOffset>-543560</wp:posOffset>
            </wp:positionV>
            <wp:extent cx="2000250" cy="752475"/>
            <wp:effectExtent l="19050" t="0" r="0" b="0"/>
            <wp:wrapNone/>
            <wp:docPr id="2" name="Slika 55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5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0E39">
        <w:rPr>
          <w:i/>
          <w:noProof/>
          <w:sz w:val="28"/>
          <w:szCs w:val="28"/>
          <w:lang w:val="hr-HR" w:eastAsia="hr-HR"/>
        </w:rPr>
        <w:t>Ured za upravljanje kvalitetom</w:t>
      </w:r>
    </w:p>
    <w:p w14:paraId="40BD31C3" w14:textId="77777777" w:rsidR="008D3C59" w:rsidRPr="008B0E39" w:rsidRDefault="008D3C59" w:rsidP="008D3C59">
      <w:pPr>
        <w:ind w:left="1276"/>
        <w:rPr>
          <w:rFonts w:ascii="UniZgLight" w:hAnsi="UniZgLight"/>
          <w:lang w:eastAsia="hr-HR"/>
        </w:rPr>
      </w:pPr>
    </w:p>
    <w:p w14:paraId="40BD31C4" w14:textId="77777777" w:rsidR="008D3C59" w:rsidRPr="008B0E39" w:rsidRDefault="008D3C59" w:rsidP="008D3C59">
      <w:pPr>
        <w:rPr>
          <w:rFonts w:ascii="Times New Roman" w:hAnsi="Times New Roman"/>
          <w:b/>
          <w:sz w:val="32"/>
          <w:szCs w:val="32"/>
        </w:rPr>
      </w:pPr>
      <w:r w:rsidRPr="008B0E39">
        <w:rPr>
          <w:rFonts w:ascii="Times New Roman" w:hAnsi="Times New Roman"/>
          <w:b/>
          <w:sz w:val="32"/>
          <w:szCs w:val="32"/>
        </w:rPr>
        <w:t>PLAN AKTIVNOSTI ZA OSIGURAVANJE KVALITETE SAS</w:t>
      </w:r>
      <w:r w:rsidR="0007020C">
        <w:rPr>
          <w:rFonts w:ascii="Times New Roman" w:hAnsi="Times New Roman"/>
          <w:b/>
          <w:sz w:val="32"/>
          <w:szCs w:val="32"/>
        </w:rPr>
        <w:t>TAVNICE</w:t>
      </w:r>
      <w:r w:rsidR="0007020C">
        <w:rPr>
          <w:rFonts w:ascii="Times New Roman" w:hAnsi="Times New Roman"/>
          <w:b/>
          <w:sz w:val="32"/>
          <w:szCs w:val="32"/>
        </w:rPr>
        <w:br/>
        <w:t>za akademsku godinu: 2020./2021</w:t>
      </w:r>
      <w:r w:rsidRPr="008B0E39">
        <w:rPr>
          <w:rFonts w:ascii="Times New Roman" w:hAnsi="Times New Roman"/>
          <w:b/>
          <w:sz w:val="32"/>
          <w:szCs w:val="32"/>
        </w:rPr>
        <w:t>.</w:t>
      </w:r>
    </w:p>
    <w:p w14:paraId="40BD31C5" w14:textId="77777777" w:rsidR="008D3C59" w:rsidRPr="008B0E39" w:rsidRDefault="008D3C59" w:rsidP="008D3C59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B0E39">
        <w:rPr>
          <w:rFonts w:ascii="Times New Roman" w:hAnsi="Times New Roman"/>
          <w:b/>
          <w:sz w:val="32"/>
          <w:szCs w:val="32"/>
        </w:rPr>
        <w:t>Naziv sastavnice: Filozofski fakultet Sveučilišta u Zagrebu</w:t>
      </w:r>
    </w:p>
    <w:p w14:paraId="40BD31C6" w14:textId="77777777" w:rsidR="008D3C59" w:rsidRPr="008B0E39" w:rsidRDefault="008D3C59" w:rsidP="008D3C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BD31C7" w14:textId="77777777" w:rsidR="008D3C59" w:rsidRPr="008B0E39" w:rsidRDefault="008D3C59" w:rsidP="008D3C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>Naziv nadležnog povjerenstva za osiguravanje kvalitete sastavnice: Povjerenstvo za osiguravanje kvalitete Filozofskog fakulteta Sveučilišta u Zagrebu</w:t>
      </w:r>
    </w:p>
    <w:p w14:paraId="40BD31C8" w14:textId="77777777" w:rsidR="008D3C59" w:rsidRPr="008B0E39" w:rsidRDefault="008D3C59" w:rsidP="008D3C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BD31C9" w14:textId="65FFC0AB" w:rsidR="008D3C5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 xml:space="preserve">Pregled planiranih aktivnosti po područjima unutarnjeg osiguravanja kvalitete kojima se uspostavljaju standardi i ostvaruju ciljevi propisani gore navedenom dokumentacijom </w:t>
      </w:r>
      <w:r w:rsidRPr="008B0E39">
        <w:rPr>
          <w:rFonts w:ascii="Times New Roman" w:hAnsi="Times New Roman"/>
          <w:sz w:val="24"/>
          <w:szCs w:val="24"/>
        </w:rPr>
        <w:t>(po potrebi, dodajte redove)</w:t>
      </w:r>
      <w:r w:rsidRPr="008B0E39">
        <w:rPr>
          <w:rFonts w:ascii="Times New Roman" w:hAnsi="Times New Roman"/>
          <w:b/>
          <w:sz w:val="24"/>
          <w:szCs w:val="24"/>
        </w:rPr>
        <w:t>:</w:t>
      </w:r>
    </w:p>
    <w:p w14:paraId="1F8F41C1" w14:textId="77777777" w:rsidR="008049F4" w:rsidRPr="008B0E39" w:rsidRDefault="008049F4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3"/>
        <w:gridCol w:w="2619"/>
        <w:gridCol w:w="5679"/>
        <w:gridCol w:w="1443"/>
        <w:gridCol w:w="2456"/>
      </w:tblGrid>
      <w:tr w:rsidR="008D3C59" w:rsidRPr="008B0E39" w14:paraId="40BD31CB" w14:textId="77777777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40BD31CA" w14:textId="0289350A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Politika i unaprjeđenj</w:t>
            </w:r>
            <w:r w:rsidR="00E8667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 xml:space="preserve"> sustava kvalitete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[ESG 1.1] </w:t>
            </w:r>
          </w:p>
        </w:tc>
      </w:tr>
      <w:tr w:rsidR="008D3C59" w:rsidRPr="008B0E39" w14:paraId="40BD31D0" w14:textId="77777777" w:rsidTr="008049F4">
        <w:trPr>
          <w:trHeight w:val="988"/>
          <w:tblHeader/>
        </w:trPr>
        <w:tc>
          <w:tcPr>
            <w:tcW w:w="1178" w:type="pct"/>
            <w:gridSpan w:val="2"/>
            <w:vAlign w:val="center"/>
          </w:tcPr>
          <w:p w14:paraId="40BD31CC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6" w:type="pct"/>
            <w:vAlign w:val="center"/>
          </w:tcPr>
          <w:p w14:paraId="40BD31CD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76" w:type="pct"/>
            <w:vAlign w:val="center"/>
          </w:tcPr>
          <w:p w14:paraId="40BD31CE" w14:textId="77777777"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80" w:type="pct"/>
            <w:vAlign w:val="center"/>
          </w:tcPr>
          <w:p w14:paraId="40BD31CF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FF5824" w:rsidRPr="008B0E39" w14:paraId="40BD31D6" w14:textId="77777777" w:rsidTr="008049F4">
        <w:trPr>
          <w:cantSplit/>
          <w:trHeight w:val="515"/>
        </w:trPr>
        <w:tc>
          <w:tcPr>
            <w:tcW w:w="133" w:type="pct"/>
          </w:tcPr>
          <w:p w14:paraId="40BD31D1" w14:textId="77777777" w:rsidR="00FF5824" w:rsidRPr="008B0E39" w:rsidRDefault="00FF5824" w:rsidP="00FF5824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40BD31D2" w14:textId="77777777"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Izrada priručnika za osiguravanje kvalitete</w:t>
            </w:r>
          </w:p>
        </w:tc>
        <w:tc>
          <w:tcPr>
            <w:tcW w:w="2266" w:type="pct"/>
          </w:tcPr>
          <w:p w14:paraId="40BD31D3" w14:textId="77777777"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Izrada priručnika za osiguravanje kvalitete</w:t>
            </w:r>
          </w:p>
        </w:tc>
        <w:tc>
          <w:tcPr>
            <w:tcW w:w="576" w:type="pct"/>
          </w:tcPr>
          <w:p w14:paraId="40BD31D4" w14:textId="77777777" w:rsidR="00FF5824" w:rsidRPr="008B0E39" w:rsidRDefault="0007020C" w:rsidP="0007020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Svibanj 2021</w:t>
            </w:r>
            <w:r w:rsidR="00FF5824" w:rsidRPr="008B0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14:paraId="40BD31D5" w14:textId="13C6A550"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Povjerenstvo za osiguravanje kvalitete, </w:t>
            </w:r>
            <w:r w:rsidR="008D21ED">
              <w:rPr>
                <w:rFonts w:ascii="Times New Roman" w:hAnsi="Times New Roman"/>
                <w:sz w:val="24"/>
                <w:szCs w:val="24"/>
              </w:rPr>
              <w:t>Ured za kvalitetu</w:t>
            </w:r>
            <w:r w:rsidR="008D2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21ED" w:rsidRPr="008B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Fakultetsko vijeće</w:t>
            </w:r>
            <w:r w:rsidR="00FB29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FF5824" w:rsidRPr="008B0E39" w14:paraId="40BD31DC" w14:textId="77777777" w:rsidTr="008049F4">
        <w:trPr>
          <w:cantSplit/>
          <w:trHeight w:val="500"/>
        </w:trPr>
        <w:tc>
          <w:tcPr>
            <w:tcW w:w="133" w:type="pct"/>
          </w:tcPr>
          <w:p w14:paraId="40BD31D7" w14:textId="77777777" w:rsidR="00FF5824" w:rsidRPr="008B0E39" w:rsidRDefault="00FF5824" w:rsidP="00FF5824">
            <w:pPr>
              <w:pStyle w:val="ListParagraph"/>
              <w:keepNext/>
              <w:keepLines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40BD31D8" w14:textId="665B3FC9" w:rsidR="00FF5824" w:rsidRPr="008B0E39" w:rsidRDefault="007B4289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Jedinstvena evidencija o aktivnostima osiguravanja kvalitete</w:t>
            </w:r>
          </w:p>
        </w:tc>
        <w:tc>
          <w:tcPr>
            <w:tcW w:w="2266" w:type="pct"/>
          </w:tcPr>
          <w:p w14:paraId="40BD31D9" w14:textId="4BB0F7CF" w:rsidR="00FF5824" w:rsidRPr="008B0E39" w:rsidRDefault="0089359B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 za kvalitetu vodi</w:t>
            </w:r>
            <w:r w:rsidR="00CD246E">
              <w:rPr>
                <w:rFonts w:ascii="Times New Roman" w:hAnsi="Times New Roman"/>
                <w:sz w:val="24"/>
                <w:szCs w:val="24"/>
              </w:rPr>
              <w:t xml:space="preserve"> jedinstvenu, sustavnu </w:t>
            </w:r>
            <w:r w:rsidR="004864F3">
              <w:rPr>
                <w:rFonts w:ascii="Times New Roman" w:hAnsi="Times New Roman"/>
                <w:sz w:val="24"/>
                <w:szCs w:val="24"/>
              </w:rPr>
              <w:t xml:space="preserve">evidenciju </w:t>
            </w:r>
            <w:r w:rsidR="00CD246E">
              <w:rPr>
                <w:rFonts w:ascii="Times New Roman" w:hAnsi="Times New Roman"/>
                <w:sz w:val="24"/>
                <w:szCs w:val="24"/>
              </w:rPr>
              <w:t>o svim aktvinostima</w:t>
            </w:r>
            <w:r w:rsidR="004864F3">
              <w:rPr>
                <w:rFonts w:ascii="Times New Roman" w:hAnsi="Times New Roman"/>
                <w:sz w:val="24"/>
                <w:szCs w:val="24"/>
              </w:rPr>
              <w:t xml:space="preserve"> osiguravan</w:t>
            </w:r>
            <w:r w:rsidR="007F5554">
              <w:rPr>
                <w:rFonts w:ascii="Times New Roman" w:hAnsi="Times New Roman"/>
                <w:sz w:val="24"/>
                <w:szCs w:val="24"/>
              </w:rPr>
              <w:t>ja</w:t>
            </w:r>
            <w:r w:rsidR="004864F3">
              <w:rPr>
                <w:rFonts w:ascii="Times New Roman" w:hAnsi="Times New Roman"/>
                <w:sz w:val="24"/>
                <w:szCs w:val="24"/>
              </w:rPr>
              <w:t xml:space="preserve"> kvalitete</w:t>
            </w:r>
            <w:r w:rsidR="00CD246E">
              <w:rPr>
                <w:rFonts w:ascii="Times New Roman" w:hAnsi="Times New Roman"/>
                <w:sz w:val="24"/>
                <w:szCs w:val="24"/>
              </w:rPr>
              <w:t xml:space="preserve"> te</w:t>
            </w:r>
            <w:r w:rsidR="004864F3">
              <w:rPr>
                <w:rFonts w:ascii="Times New Roman" w:hAnsi="Times New Roman"/>
                <w:sz w:val="24"/>
                <w:szCs w:val="24"/>
              </w:rPr>
              <w:t xml:space="preserve"> arhivu dokumenata</w:t>
            </w:r>
          </w:p>
        </w:tc>
        <w:tc>
          <w:tcPr>
            <w:tcW w:w="576" w:type="pct"/>
          </w:tcPr>
          <w:p w14:paraId="40BD31DA" w14:textId="53711F36" w:rsidR="00FF5824" w:rsidRPr="008B0E39" w:rsidRDefault="007F555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0" w:type="pct"/>
          </w:tcPr>
          <w:p w14:paraId="40BD31DB" w14:textId="02EAB82C" w:rsidR="00FF5824" w:rsidRPr="008B0E39" w:rsidRDefault="007F555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 za kvalitetu</w:t>
            </w:r>
          </w:p>
        </w:tc>
      </w:tr>
    </w:tbl>
    <w:p w14:paraId="40BD31E3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3"/>
        <w:gridCol w:w="2619"/>
        <w:gridCol w:w="5679"/>
        <w:gridCol w:w="1443"/>
        <w:gridCol w:w="2456"/>
      </w:tblGrid>
      <w:tr w:rsidR="008D3C59" w:rsidRPr="008B0E39" w14:paraId="40BD31E5" w14:textId="77777777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40BD31E4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Odobrenje, kontinuirano praćenje te periodično vrjednovanje i revizija studijskih programa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1.2, ESG 1.9]</w:t>
            </w:r>
          </w:p>
        </w:tc>
      </w:tr>
      <w:tr w:rsidR="008D3C59" w:rsidRPr="008B0E39" w14:paraId="40BD31EA" w14:textId="77777777" w:rsidTr="002E3C0E">
        <w:trPr>
          <w:trHeight w:val="988"/>
          <w:tblHeader/>
        </w:trPr>
        <w:tc>
          <w:tcPr>
            <w:tcW w:w="1178" w:type="pct"/>
            <w:gridSpan w:val="2"/>
            <w:vAlign w:val="center"/>
          </w:tcPr>
          <w:p w14:paraId="40BD31E6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6" w:type="pct"/>
            <w:vAlign w:val="center"/>
          </w:tcPr>
          <w:p w14:paraId="40BD31E7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76" w:type="pct"/>
            <w:vAlign w:val="center"/>
          </w:tcPr>
          <w:p w14:paraId="40BD31E8" w14:textId="77777777"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80" w:type="pct"/>
            <w:vAlign w:val="center"/>
          </w:tcPr>
          <w:p w14:paraId="40BD31E9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04789C" w:rsidRPr="008B0E39" w14:paraId="40BD31F0" w14:textId="77777777" w:rsidTr="002E3C0E">
        <w:trPr>
          <w:cantSplit/>
          <w:trHeight w:val="515"/>
        </w:trPr>
        <w:tc>
          <w:tcPr>
            <w:tcW w:w="133" w:type="pct"/>
          </w:tcPr>
          <w:p w14:paraId="40BD31EB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40BD31EC" w14:textId="77777777" w:rsidR="008D3C59" w:rsidRPr="008B0E39" w:rsidRDefault="008D3C59" w:rsidP="0007020C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D</w:t>
            </w:r>
            <w:r w:rsidR="0007020C">
              <w:rPr>
                <w:rFonts w:ascii="Times New Roman" w:hAnsi="Times New Roman"/>
                <w:sz w:val="24"/>
                <w:szCs w:val="24"/>
              </w:rPr>
              <w:t>onošenje izvedbenog plana za 2021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./20</w:t>
            </w:r>
            <w:r w:rsidR="00FF5824" w:rsidRPr="008B0E39">
              <w:rPr>
                <w:rFonts w:ascii="Times New Roman" w:hAnsi="Times New Roman"/>
                <w:sz w:val="24"/>
                <w:szCs w:val="24"/>
              </w:rPr>
              <w:t>2</w:t>
            </w:r>
            <w:r w:rsidR="0007020C">
              <w:rPr>
                <w:rFonts w:ascii="Times New Roman" w:hAnsi="Times New Roman"/>
                <w:sz w:val="24"/>
                <w:szCs w:val="24"/>
              </w:rPr>
              <w:t>2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6" w:type="pct"/>
          </w:tcPr>
          <w:p w14:paraId="40BD31ED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Usvojen izvedbeni plan</w:t>
            </w:r>
            <w:r w:rsidR="00535A8B" w:rsidRPr="008B0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</w:tcPr>
          <w:p w14:paraId="40BD31EE" w14:textId="72532BF5" w:rsidR="008D3C59" w:rsidRPr="008B0E39" w:rsidRDefault="0007020C" w:rsidP="0007020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Travanj ili svibanj </w:t>
            </w:r>
            <w:r w:rsidR="004766B9">
              <w:rPr>
                <w:rFonts w:ascii="Times New Roman" w:hAnsi="Times New Roman"/>
                <w:sz w:val="24"/>
                <w:szCs w:val="24"/>
              </w:rPr>
              <w:t>202</w:t>
            </w:r>
            <w:r w:rsidR="004766B9">
              <w:rPr>
                <w:rFonts w:ascii="Times New Roman" w:hAnsi="Times New Roman"/>
                <w:sz w:val="24"/>
                <w:szCs w:val="24"/>
              </w:rPr>
              <w:t>1</w:t>
            </w:r>
            <w:r w:rsidR="00535A8B" w:rsidRPr="008B0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14:paraId="40BD31EF" w14:textId="76D12795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Odsjeci, Povjerenstvo za osiguravanje kvalitete,</w:t>
            </w:r>
            <w:r w:rsidR="004766B9">
              <w:rPr>
                <w:rFonts w:ascii="Times New Roman" w:hAnsi="Times New Roman"/>
                <w:sz w:val="24"/>
                <w:szCs w:val="24"/>
              </w:rPr>
              <w:t xml:space="preserve"> Ured za kvalitetu,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 xml:space="preserve"> Fakultetsko vijeće</w:t>
            </w:r>
          </w:p>
        </w:tc>
      </w:tr>
      <w:tr w:rsidR="0004789C" w:rsidRPr="008B0E39" w14:paraId="40BD31F6" w14:textId="77777777" w:rsidTr="002E3C0E">
        <w:trPr>
          <w:cantSplit/>
          <w:trHeight w:val="500"/>
        </w:trPr>
        <w:tc>
          <w:tcPr>
            <w:tcW w:w="133" w:type="pct"/>
          </w:tcPr>
          <w:p w14:paraId="40BD31F1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40BD31F2" w14:textId="77777777" w:rsidR="008D3C59" w:rsidRPr="008B0E39" w:rsidRDefault="00535A8B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Provođenje ankete za vrjednovanje preddiplomskih studija (završeni studenti)</w:t>
            </w:r>
          </w:p>
        </w:tc>
        <w:tc>
          <w:tcPr>
            <w:tcW w:w="2266" w:type="pct"/>
          </w:tcPr>
          <w:p w14:paraId="40BD31F3" w14:textId="77777777" w:rsidR="008D3C59" w:rsidRPr="008B0E39" w:rsidRDefault="00535A8B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Studenti diplomskih studija koji su završili preddiplomski studij na FFZG-u ispunjavaju anketu za vrednovanje preddiplomskog studija</w:t>
            </w:r>
          </w:p>
        </w:tc>
        <w:tc>
          <w:tcPr>
            <w:tcW w:w="576" w:type="pct"/>
          </w:tcPr>
          <w:p w14:paraId="40BD31F4" w14:textId="69F79008" w:rsidR="008D3C59" w:rsidRPr="008B0E39" w:rsidRDefault="0005477D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lipanj 2021.</w:t>
            </w:r>
          </w:p>
        </w:tc>
        <w:tc>
          <w:tcPr>
            <w:tcW w:w="980" w:type="pct"/>
          </w:tcPr>
          <w:p w14:paraId="40BD31F5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9C" w:rsidRPr="008B0E39" w14:paraId="40BD31FD" w14:textId="77777777" w:rsidTr="002E3C0E">
        <w:trPr>
          <w:cantSplit/>
          <w:trHeight w:val="500"/>
        </w:trPr>
        <w:tc>
          <w:tcPr>
            <w:tcW w:w="133" w:type="pct"/>
          </w:tcPr>
          <w:p w14:paraId="40BD31F7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40BD31F8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Anketa za procjenu rada nastavnika </w:t>
            </w:r>
          </w:p>
        </w:tc>
        <w:tc>
          <w:tcPr>
            <w:tcW w:w="2266" w:type="pct"/>
          </w:tcPr>
          <w:p w14:paraId="40BD31FA" w14:textId="221215EF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07020C">
              <w:rPr>
                <w:rFonts w:ascii="Times New Roman" w:hAnsi="Times New Roman"/>
                <w:sz w:val="24"/>
                <w:szCs w:val="24"/>
              </w:rPr>
              <w:t>siječnju i lipnju 2021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 xml:space="preserve"> provoditi će se</w:t>
            </w:r>
            <w:r w:rsidR="00921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Studentska anketa za procjenu rada nastavnika tehnikom ispunjavanja tiskanog anketnog upitnika</w:t>
            </w:r>
            <w:r w:rsidR="00A03668">
              <w:rPr>
                <w:rFonts w:ascii="Times New Roman" w:hAnsi="Times New Roman"/>
                <w:sz w:val="24"/>
                <w:szCs w:val="24"/>
              </w:rPr>
              <w:t xml:space="preserve"> ili on-line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 xml:space="preserve"> (na zahtjev nastavnika).</w:t>
            </w:r>
          </w:p>
        </w:tc>
        <w:tc>
          <w:tcPr>
            <w:tcW w:w="576" w:type="pct"/>
          </w:tcPr>
          <w:p w14:paraId="40BD31FB" w14:textId="77777777" w:rsidR="008D3C59" w:rsidRPr="008B0E39" w:rsidRDefault="0007020C" w:rsidP="0007020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Siječanj i lipanj 2021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80" w:type="pct"/>
          </w:tcPr>
          <w:p w14:paraId="40BD31FC" w14:textId="360678DD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Povjerenstvo za osiguravanje kvalitete, </w:t>
            </w:r>
            <w:r w:rsidR="00FB29E5">
              <w:rPr>
                <w:rFonts w:ascii="Times New Roman" w:hAnsi="Times New Roman"/>
                <w:sz w:val="24"/>
                <w:szCs w:val="24"/>
              </w:rPr>
              <w:t xml:space="preserve">Ured za kvalitetu, 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odsjeci</w:t>
            </w:r>
          </w:p>
        </w:tc>
      </w:tr>
      <w:tr w:rsidR="002E3C0E" w:rsidRPr="008B0E39" w14:paraId="6ACCA991" w14:textId="77777777" w:rsidTr="002E3C0E">
        <w:trPr>
          <w:cantSplit/>
          <w:trHeight w:val="500"/>
        </w:trPr>
        <w:tc>
          <w:tcPr>
            <w:tcW w:w="133" w:type="pct"/>
          </w:tcPr>
          <w:p w14:paraId="58CA2F98" w14:textId="77777777" w:rsidR="002E3C0E" w:rsidRPr="008B0E39" w:rsidRDefault="002E3C0E" w:rsidP="002E3C0E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5F90C5D1" w14:textId="5A67E230" w:rsidR="002E3C0E" w:rsidRPr="008B0E39" w:rsidRDefault="002E3C0E" w:rsidP="002E3C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A89">
              <w:rPr>
                <w:rFonts w:ascii="Cambria" w:hAnsi="Cambria"/>
                <w:sz w:val="23"/>
                <w:szCs w:val="23"/>
              </w:rPr>
              <w:t>Anketa o interesu i preferencijama kod odabira studija</w:t>
            </w:r>
          </w:p>
        </w:tc>
        <w:tc>
          <w:tcPr>
            <w:tcW w:w="2266" w:type="pct"/>
          </w:tcPr>
          <w:p w14:paraId="5001C1EF" w14:textId="2C0F4C4F" w:rsidR="002E3C0E" w:rsidRPr="008B0E39" w:rsidRDefault="002E3C0E" w:rsidP="002E3C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Anketa se provodi svake godine - papirnato ili on-line -  među studentima 1. godine kako bi se zadržao kontinuitet u praćenju tih podataka</w:t>
            </w:r>
          </w:p>
        </w:tc>
        <w:tc>
          <w:tcPr>
            <w:tcW w:w="576" w:type="pct"/>
          </w:tcPr>
          <w:p w14:paraId="6E79D3F3" w14:textId="789E2A4E" w:rsidR="002E3C0E" w:rsidRDefault="002E3C0E" w:rsidP="002E3C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0" w:type="pct"/>
          </w:tcPr>
          <w:p w14:paraId="52C50138" w14:textId="4F41BF3E" w:rsidR="002E3C0E" w:rsidRPr="008B0E39" w:rsidRDefault="002E3C0E" w:rsidP="002E3C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Odsjek za psihologiju, 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 xml:space="preserve">Povjerenstvo za osiguravanje kvalitete, </w:t>
            </w:r>
            <w:r>
              <w:rPr>
                <w:rFonts w:ascii="Times New Roman" w:hAnsi="Times New Roman"/>
                <w:sz w:val="24"/>
                <w:szCs w:val="24"/>
              </w:rPr>
              <w:t>Ured za kvalitetu</w:t>
            </w:r>
          </w:p>
        </w:tc>
      </w:tr>
    </w:tbl>
    <w:p w14:paraId="40BD31FE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14:paraId="40BD31FF" w14:textId="315795D2" w:rsidR="008D3C5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14:paraId="081B6379" w14:textId="1DC3C5B1" w:rsidR="00FB29E5" w:rsidRDefault="00FB29E5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14:paraId="7A83DBA2" w14:textId="2F8DC8DE" w:rsidR="00FB29E5" w:rsidRDefault="00FB29E5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14:paraId="6D5FBF97" w14:textId="0D4606FC" w:rsidR="00FB29E5" w:rsidRDefault="00FB29E5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14:paraId="5286A03A" w14:textId="77777777" w:rsidR="00FB29E5" w:rsidRPr="008B0E39" w:rsidRDefault="00FB29E5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04"/>
        <w:gridCol w:w="2590"/>
        <w:gridCol w:w="5650"/>
        <w:gridCol w:w="1556"/>
        <w:gridCol w:w="2430"/>
      </w:tblGrid>
      <w:tr w:rsidR="008D3C59" w:rsidRPr="008B0E39" w14:paraId="40BD3201" w14:textId="77777777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40BD3200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Učenje, poučavanja i vrjednovanje studentskog rada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1.3]</w:t>
            </w:r>
          </w:p>
        </w:tc>
      </w:tr>
      <w:tr w:rsidR="008D3C59" w:rsidRPr="008B0E39" w14:paraId="40BD3206" w14:textId="77777777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14:paraId="40BD3202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14:paraId="40BD3203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14:paraId="40BD3204" w14:textId="77777777"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14:paraId="40BD3205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14:paraId="40BD320C" w14:textId="77777777" w:rsidTr="001769E8">
        <w:trPr>
          <w:cantSplit/>
          <w:trHeight w:val="515"/>
        </w:trPr>
        <w:tc>
          <w:tcPr>
            <w:tcW w:w="181" w:type="pct"/>
          </w:tcPr>
          <w:p w14:paraId="40BD3207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08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Poticanje korištenja mogućnosti vrjednovanja u sustavu za e-učenje</w:t>
            </w:r>
          </w:p>
        </w:tc>
        <w:tc>
          <w:tcPr>
            <w:tcW w:w="2314" w:type="pct"/>
          </w:tcPr>
          <w:p w14:paraId="40BD3209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Centar za potporu e-učenju potiče nastavnike na korištenje vrjednovanja rada studenata kroz Sustav učenja na daljinu Omega kroz online zadaće, testove i kolokvije. Centar osigurava tehničku podršku i obrazovne materijale i aktivnosti (radionice) namijenjene nastavnicima.</w:t>
            </w:r>
          </w:p>
        </w:tc>
        <w:tc>
          <w:tcPr>
            <w:tcW w:w="383" w:type="pct"/>
          </w:tcPr>
          <w:p w14:paraId="40BD320A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Kontinuirano, na početku akademske godine</w:t>
            </w:r>
          </w:p>
        </w:tc>
        <w:tc>
          <w:tcPr>
            <w:tcW w:w="1029" w:type="pct"/>
          </w:tcPr>
          <w:p w14:paraId="40BD320B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Centra za potporu e-učenju, nastavnici</w:t>
            </w:r>
          </w:p>
        </w:tc>
      </w:tr>
      <w:tr w:rsidR="008D3C59" w:rsidRPr="008B0E39" w14:paraId="40BD3212" w14:textId="77777777" w:rsidTr="001769E8">
        <w:trPr>
          <w:cantSplit/>
          <w:trHeight w:val="500"/>
        </w:trPr>
        <w:tc>
          <w:tcPr>
            <w:tcW w:w="181" w:type="pct"/>
          </w:tcPr>
          <w:p w14:paraId="40BD320D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0E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Analiza postojećih načina vrednovanja studentskog rada</w:t>
            </w:r>
          </w:p>
        </w:tc>
        <w:tc>
          <w:tcPr>
            <w:tcW w:w="2314" w:type="pct"/>
          </w:tcPr>
          <w:p w14:paraId="40BD320F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 skladu s preporukama reakreditacijskog povjerenstva pokrenut proces analize.</w:t>
            </w:r>
          </w:p>
        </w:tc>
        <w:tc>
          <w:tcPr>
            <w:tcW w:w="383" w:type="pct"/>
          </w:tcPr>
          <w:p w14:paraId="40BD3210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40BD3211" w14:textId="7B7DDC83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odsjeci</w:t>
            </w:r>
          </w:p>
        </w:tc>
      </w:tr>
      <w:tr w:rsidR="008D3C59" w:rsidRPr="008B0E39" w14:paraId="40BD3218" w14:textId="77777777" w:rsidTr="001769E8">
        <w:trPr>
          <w:cantSplit/>
          <w:trHeight w:val="500"/>
        </w:trPr>
        <w:tc>
          <w:tcPr>
            <w:tcW w:w="181" w:type="pct"/>
          </w:tcPr>
          <w:p w14:paraId="40BD3213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14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Kriteriji i metode ocjenjivanja unaprijed su objavljeni</w:t>
            </w:r>
          </w:p>
        </w:tc>
        <w:tc>
          <w:tcPr>
            <w:tcW w:w="2314" w:type="pct"/>
          </w:tcPr>
          <w:p w14:paraId="40BD3215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531946561"/>
            <w:r w:rsidRPr="008B0E39">
              <w:rPr>
                <w:rFonts w:ascii="Times New Roman" w:hAnsi="Times New Roman"/>
                <w:sz w:val="24"/>
                <w:szCs w:val="24"/>
              </w:rPr>
              <w:t>Osigurava se pravodobno informiranje o metodama vrednovanja</w:t>
            </w:r>
            <w:bookmarkEnd w:id="0"/>
          </w:p>
        </w:tc>
        <w:tc>
          <w:tcPr>
            <w:tcW w:w="383" w:type="pct"/>
          </w:tcPr>
          <w:p w14:paraId="40BD3216" w14:textId="77777777" w:rsidR="008D3C59" w:rsidRPr="008B0E39" w:rsidRDefault="00543A5D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>onti</w:t>
            </w:r>
            <w:r w:rsidR="00246FCF" w:rsidRPr="008B0E39">
              <w:rPr>
                <w:rFonts w:ascii="Times New Roman" w:hAnsi="Times New Roman"/>
                <w:sz w:val="24"/>
                <w:szCs w:val="24"/>
              </w:rPr>
              <w:t>n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>uirano</w:t>
            </w:r>
          </w:p>
        </w:tc>
        <w:tc>
          <w:tcPr>
            <w:tcW w:w="1029" w:type="pct"/>
          </w:tcPr>
          <w:p w14:paraId="40BD3217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odsjeci</w:t>
            </w:r>
          </w:p>
        </w:tc>
      </w:tr>
    </w:tbl>
    <w:p w14:paraId="40BD3219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14:paraId="40BD321A" w14:textId="62C8DBAA" w:rsidR="009E6E01" w:rsidRDefault="009E6E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E9FE1D9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19"/>
        <w:gridCol w:w="2605"/>
        <w:gridCol w:w="5665"/>
        <w:gridCol w:w="1496"/>
        <w:gridCol w:w="2445"/>
      </w:tblGrid>
      <w:tr w:rsidR="008D3C59" w:rsidRPr="008B0E39" w14:paraId="40BD321C" w14:textId="77777777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40BD321B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Upisi i napredovanje studenata, priznavanje kompetencija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1.4]</w:t>
            </w:r>
          </w:p>
        </w:tc>
      </w:tr>
      <w:tr w:rsidR="008D3C59" w:rsidRPr="008B0E39" w14:paraId="40BD3221" w14:textId="77777777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14:paraId="40BD321D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14:paraId="40BD321E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14:paraId="40BD321F" w14:textId="77777777"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14:paraId="40BD3220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14:paraId="40BD3227" w14:textId="77777777" w:rsidTr="001769E8">
        <w:trPr>
          <w:cantSplit/>
          <w:trHeight w:val="515"/>
        </w:trPr>
        <w:tc>
          <w:tcPr>
            <w:tcW w:w="181" w:type="pct"/>
          </w:tcPr>
          <w:p w14:paraId="40BD3222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23" w14:textId="77777777" w:rsidR="008D3C59" w:rsidRPr="008B0E39" w:rsidRDefault="006E0B40" w:rsidP="006E0B4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Administracija upisa viših godina studija</w:t>
            </w:r>
          </w:p>
        </w:tc>
        <w:tc>
          <w:tcPr>
            <w:tcW w:w="2314" w:type="pct"/>
          </w:tcPr>
          <w:p w14:paraId="40BD3224" w14:textId="693F4DB7" w:rsidR="008D3C59" w:rsidRPr="008B0E39" w:rsidRDefault="006E0B40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Olakšana i ubrzana administracija upisa viših godina s naglaskom na upise preko Studomata/Webomata </w:t>
            </w:r>
          </w:p>
        </w:tc>
        <w:tc>
          <w:tcPr>
            <w:tcW w:w="383" w:type="pct"/>
          </w:tcPr>
          <w:p w14:paraId="40BD3225" w14:textId="77777777" w:rsidR="008D3C59" w:rsidRPr="008B0E39" w:rsidRDefault="006E0B40" w:rsidP="0007020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  <w:r w:rsidR="00AC2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</w:tcPr>
          <w:p w14:paraId="40BD3226" w14:textId="77777777" w:rsidR="008D3C59" w:rsidRPr="008B0E39" w:rsidRDefault="006E0B40" w:rsidP="006E0B4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Studentska služba, Ured za ISVU</w:t>
            </w:r>
          </w:p>
        </w:tc>
      </w:tr>
      <w:tr w:rsidR="008D3C59" w:rsidRPr="008B0E39" w14:paraId="40BD322E" w14:textId="77777777" w:rsidTr="001769E8">
        <w:trPr>
          <w:cantSplit/>
          <w:trHeight w:val="500"/>
        </w:trPr>
        <w:tc>
          <w:tcPr>
            <w:tcW w:w="181" w:type="pct"/>
          </w:tcPr>
          <w:p w14:paraId="40BD3228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29" w14:textId="77777777" w:rsidR="008D3C59" w:rsidRPr="008B0E39" w:rsidRDefault="006E0B40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trajanja studija i razloga produljenog trajanja studija</w:t>
            </w:r>
          </w:p>
        </w:tc>
        <w:tc>
          <w:tcPr>
            <w:tcW w:w="2314" w:type="pct"/>
          </w:tcPr>
          <w:p w14:paraId="40BD322A" w14:textId="77777777" w:rsidR="008D3C59" w:rsidRPr="008B0E39" w:rsidRDefault="006E0B40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temelju podataka omogućeni postupci ubrzavanja završetka studija za studente pri kraju nominalnog trajanja studija</w:t>
            </w:r>
          </w:p>
        </w:tc>
        <w:tc>
          <w:tcPr>
            <w:tcW w:w="383" w:type="pct"/>
          </w:tcPr>
          <w:p w14:paraId="40BD322B" w14:textId="77777777" w:rsidR="008D3C59" w:rsidRDefault="006E0B40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14:paraId="40BD322C" w14:textId="77777777" w:rsidR="00AC2428" w:rsidRPr="008B0E39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40BD322D" w14:textId="77777777" w:rsidR="008D3C59" w:rsidRPr="008B0E39" w:rsidRDefault="006E0B40" w:rsidP="006E0B4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Studentska služba, Ured za ISVU</w:t>
            </w:r>
          </w:p>
        </w:tc>
      </w:tr>
      <w:tr w:rsidR="008D3C59" w:rsidRPr="008B0E39" w14:paraId="40BD3235" w14:textId="77777777" w:rsidTr="001769E8">
        <w:trPr>
          <w:cantSplit/>
          <w:trHeight w:val="500"/>
        </w:trPr>
        <w:tc>
          <w:tcPr>
            <w:tcW w:w="181" w:type="pct"/>
          </w:tcPr>
          <w:p w14:paraId="40BD322F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30" w14:textId="77777777" w:rsidR="008D3C59" w:rsidRPr="008B0E39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Povećanje broja ispitnih rokova i smanjenje kolizija među ispitnim terminima</w:t>
            </w:r>
          </w:p>
        </w:tc>
        <w:tc>
          <w:tcPr>
            <w:tcW w:w="2314" w:type="pct"/>
          </w:tcPr>
          <w:p w14:paraId="40BD3231" w14:textId="77777777" w:rsidR="008D3C59" w:rsidRPr="008B0E39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Ponuđeno trajanje ispitnih rokova minimalno četiri tjedna s minimalno tri ispitna termina u svakom roku. U dvopredmetnom sustavu iznimno potrebno za smanjene kolizija i omogućava brže napredovanje kroz studij.</w:t>
            </w:r>
          </w:p>
        </w:tc>
        <w:tc>
          <w:tcPr>
            <w:tcW w:w="383" w:type="pct"/>
          </w:tcPr>
          <w:p w14:paraId="40BD3232" w14:textId="77777777" w:rsidR="008D3C59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14:paraId="40BD3233" w14:textId="77777777" w:rsidR="00AC2428" w:rsidRPr="008B0E39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40BD3234" w14:textId="77777777" w:rsidR="008D3C59" w:rsidRPr="008B0E39" w:rsidRDefault="00633D71" w:rsidP="00633D7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Studentska služba, Ured za ISVU, Odsjeci</w:t>
            </w:r>
          </w:p>
        </w:tc>
      </w:tr>
      <w:tr w:rsidR="008D3C59" w:rsidRPr="008B0E39" w14:paraId="40BD323C" w14:textId="77777777" w:rsidTr="001769E8">
        <w:trPr>
          <w:cantSplit/>
          <w:trHeight w:val="500"/>
        </w:trPr>
        <w:tc>
          <w:tcPr>
            <w:tcW w:w="181" w:type="pct"/>
          </w:tcPr>
          <w:p w14:paraId="40BD3236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37" w14:textId="77777777" w:rsidR="008D3C59" w:rsidRPr="008B0E39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Priznavanje mobilnosti u potpunoj ekvivalenciji</w:t>
            </w:r>
          </w:p>
        </w:tc>
        <w:tc>
          <w:tcPr>
            <w:tcW w:w="2314" w:type="pct"/>
          </w:tcPr>
          <w:p w14:paraId="40BD3238" w14:textId="77777777" w:rsidR="008D3C59" w:rsidRPr="008B0E39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Priznavanje svakog oblika mobilnosti po sustavu 1 ECTS = 1 ECTS</w:t>
            </w:r>
          </w:p>
        </w:tc>
        <w:tc>
          <w:tcPr>
            <w:tcW w:w="383" w:type="pct"/>
          </w:tcPr>
          <w:p w14:paraId="40BD3239" w14:textId="77777777" w:rsidR="008D3C59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14:paraId="40BD323A" w14:textId="77777777" w:rsidR="00AC2428" w:rsidRPr="008B0E39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40BD323B" w14:textId="77777777" w:rsidR="008D3C59" w:rsidRPr="008B0E39" w:rsidRDefault="00633D71" w:rsidP="00633D7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Studentska služba, Ured za međunarodnu suradnju, Ured za ISVU, Odsjeci</w:t>
            </w:r>
          </w:p>
        </w:tc>
      </w:tr>
      <w:tr w:rsidR="008D3C59" w:rsidRPr="008B0E39" w14:paraId="40BD3243" w14:textId="77777777" w:rsidTr="001769E8">
        <w:trPr>
          <w:cantSplit/>
          <w:trHeight w:val="500"/>
        </w:trPr>
        <w:tc>
          <w:tcPr>
            <w:tcW w:w="181" w:type="pct"/>
          </w:tcPr>
          <w:p w14:paraId="40BD323D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3E" w14:textId="77777777" w:rsidR="008D3C59" w:rsidRPr="008B0E39" w:rsidRDefault="008B2CFE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Poticanje horizontalne mobilnosti</w:t>
            </w:r>
          </w:p>
        </w:tc>
        <w:tc>
          <w:tcPr>
            <w:tcW w:w="2314" w:type="pct"/>
          </w:tcPr>
          <w:p w14:paraId="40BD323F" w14:textId="77777777" w:rsidR="008D3C59" w:rsidRPr="008B0E39" w:rsidRDefault="008B2CFE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Usvojen jedinstveni </w:t>
            </w:r>
            <w:r w:rsidRPr="008B2CFE">
              <w:rPr>
                <w:rFonts w:ascii="Times New Roman" w:hAnsi="Times New Roman"/>
                <w:i/>
                <w:sz w:val="24"/>
                <w:szCs w:val="24"/>
              </w:rPr>
              <w:t>Obrazac za horizontalnu mobilnost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razini Fakulteta. Svaka mobilnost priznata u potpunoj ekvivalenciji</w:t>
            </w:r>
          </w:p>
        </w:tc>
        <w:tc>
          <w:tcPr>
            <w:tcW w:w="383" w:type="pct"/>
          </w:tcPr>
          <w:p w14:paraId="40BD3240" w14:textId="77777777" w:rsidR="008D3C59" w:rsidRDefault="008B2CFE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14:paraId="40BD3241" w14:textId="77777777" w:rsidR="00AC2428" w:rsidRPr="008B0E39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40BD3242" w14:textId="77777777" w:rsidR="008D3C59" w:rsidRPr="008B0E39" w:rsidRDefault="008B2CFE" w:rsidP="008B2CF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Studentska služba, Ured za ISVU, Odsjeci</w:t>
            </w:r>
          </w:p>
        </w:tc>
      </w:tr>
    </w:tbl>
    <w:p w14:paraId="40BD3244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19"/>
        <w:gridCol w:w="2605"/>
        <w:gridCol w:w="5665"/>
        <w:gridCol w:w="1496"/>
        <w:gridCol w:w="2445"/>
      </w:tblGrid>
      <w:tr w:rsidR="008D3C59" w:rsidRPr="008B0E39" w14:paraId="40BD3246" w14:textId="77777777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40BD3245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Nastavno osoblje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1.5]</w:t>
            </w:r>
          </w:p>
        </w:tc>
      </w:tr>
      <w:tr w:rsidR="008D3C59" w:rsidRPr="008B0E39" w14:paraId="40BD324B" w14:textId="77777777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14:paraId="40BD3247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14:paraId="40BD3248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14:paraId="40BD3249" w14:textId="77777777"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14:paraId="40BD324A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14:paraId="40BD3251" w14:textId="77777777" w:rsidTr="001769E8">
        <w:trPr>
          <w:cantSplit/>
          <w:trHeight w:val="515"/>
        </w:trPr>
        <w:tc>
          <w:tcPr>
            <w:tcW w:w="181" w:type="pct"/>
          </w:tcPr>
          <w:p w14:paraId="40BD324C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4D" w14:textId="77777777"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Potpora službi pri prijavi projekata</w:t>
            </w:r>
          </w:p>
        </w:tc>
        <w:tc>
          <w:tcPr>
            <w:tcW w:w="2314" w:type="pct"/>
          </w:tcPr>
          <w:p w14:paraId="40BD324E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Fakultet kontinuirano osigurava administrativnu potporu prijavi provođenju projekata</w:t>
            </w:r>
          </w:p>
        </w:tc>
        <w:tc>
          <w:tcPr>
            <w:tcW w:w="383" w:type="pct"/>
          </w:tcPr>
          <w:p w14:paraId="40BD324F" w14:textId="77777777"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40BD3250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Stručne službe FF, Ured za međunarodnu suradnju</w:t>
            </w:r>
          </w:p>
        </w:tc>
      </w:tr>
      <w:tr w:rsidR="008D3C59" w:rsidRPr="008B0E39" w14:paraId="40BD3257" w14:textId="77777777" w:rsidTr="001769E8">
        <w:trPr>
          <w:cantSplit/>
          <w:trHeight w:val="500"/>
        </w:trPr>
        <w:tc>
          <w:tcPr>
            <w:tcW w:w="181" w:type="pct"/>
          </w:tcPr>
          <w:p w14:paraId="40BD3252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53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Edukacija o prijavama projekata</w:t>
            </w:r>
          </w:p>
        </w:tc>
        <w:tc>
          <w:tcPr>
            <w:tcW w:w="2314" w:type="pct"/>
          </w:tcPr>
          <w:p w14:paraId="40BD3254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Ured za međunarodnu suradnju redovito organizira informativne radionice za prijavu na znanstvene projekte.</w:t>
            </w:r>
          </w:p>
        </w:tc>
        <w:tc>
          <w:tcPr>
            <w:tcW w:w="383" w:type="pct"/>
          </w:tcPr>
          <w:p w14:paraId="40BD3255" w14:textId="77777777"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40BD3256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Ured za međunarodnu suradnju</w:t>
            </w:r>
          </w:p>
        </w:tc>
      </w:tr>
      <w:tr w:rsidR="008D3C59" w:rsidRPr="008B0E39" w14:paraId="40BD325D" w14:textId="77777777" w:rsidTr="001769E8">
        <w:trPr>
          <w:cantSplit/>
          <w:trHeight w:val="500"/>
        </w:trPr>
        <w:tc>
          <w:tcPr>
            <w:tcW w:w="181" w:type="pct"/>
          </w:tcPr>
          <w:p w14:paraId="40BD3258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59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Osiguravanja bilateralnih i međunarodnih ugovora za razmjenu nastavnika</w:t>
            </w:r>
          </w:p>
        </w:tc>
        <w:tc>
          <w:tcPr>
            <w:tcW w:w="2314" w:type="pct"/>
          </w:tcPr>
          <w:p w14:paraId="40BD325A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Fakultet kontinuirano obnavlja i sklapa nove ugovore o mobilnosti putem bilateralne suradnje ili ERASMUS+ programa.</w:t>
            </w:r>
          </w:p>
        </w:tc>
        <w:tc>
          <w:tcPr>
            <w:tcW w:w="383" w:type="pct"/>
          </w:tcPr>
          <w:p w14:paraId="40BD325B" w14:textId="77777777"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40BD325C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Ured za međunarodnu suradnju</w:t>
            </w:r>
          </w:p>
        </w:tc>
      </w:tr>
      <w:tr w:rsidR="008D3C59" w:rsidRPr="008B0E39" w14:paraId="40BD3263" w14:textId="77777777" w:rsidTr="001769E8">
        <w:trPr>
          <w:cantSplit/>
          <w:trHeight w:val="500"/>
        </w:trPr>
        <w:tc>
          <w:tcPr>
            <w:tcW w:w="181" w:type="pct"/>
          </w:tcPr>
          <w:p w14:paraId="40BD325E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5F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Osiguravanje pristupa na elektronske baze znanstvenih radova</w:t>
            </w:r>
          </w:p>
        </w:tc>
        <w:tc>
          <w:tcPr>
            <w:tcW w:w="2314" w:type="pct"/>
          </w:tcPr>
          <w:p w14:paraId="40BD3260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Obnova pretplate na baze znanstvenih radova.</w:t>
            </w:r>
          </w:p>
        </w:tc>
        <w:tc>
          <w:tcPr>
            <w:tcW w:w="383" w:type="pct"/>
          </w:tcPr>
          <w:p w14:paraId="40BD3261" w14:textId="77777777"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40BD3262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</w:t>
            </w:r>
          </w:p>
        </w:tc>
      </w:tr>
    </w:tbl>
    <w:p w14:paraId="40BD3264" w14:textId="43CBA00A" w:rsidR="00297E84" w:rsidRDefault="00297E84" w:rsidP="008D3C59">
      <w:pPr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p w14:paraId="75C76E3B" w14:textId="77777777" w:rsidR="00297E84" w:rsidRDefault="00297E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9C91F89" w14:textId="77777777" w:rsidR="008D3C59" w:rsidRPr="008B0E39" w:rsidRDefault="008D3C59" w:rsidP="008D3C59">
      <w:pPr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p w14:paraId="40BD3265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19"/>
        <w:gridCol w:w="2605"/>
        <w:gridCol w:w="5665"/>
        <w:gridCol w:w="1496"/>
        <w:gridCol w:w="2445"/>
      </w:tblGrid>
      <w:tr w:rsidR="008D3C59" w:rsidRPr="008B0E39" w14:paraId="40BD3267" w14:textId="77777777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40BD3266" w14:textId="77777777" w:rsidR="008D3C59" w:rsidRPr="008B0E39" w:rsidRDefault="008D3C59" w:rsidP="001769E8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5.1 Znanstveno-istraživačka i umjetnička djelatnost</w:t>
            </w:r>
          </w:p>
        </w:tc>
      </w:tr>
      <w:tr w:rsidR="008D3C59" w:rsidRPr="008B0E39" w14:paraId="40BD326C" w14:textId="77777777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14:paraId="40BD3268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14:paraId="40BD3269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14:paraId="40BD326A" w14:textId="77777777"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14:paraId="40BD326B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14:paraId="40BD3272" w14:textId="77777777" w:rsidTr="001769E8">
        <w:trPr>
          <w:cantSplit/>
          <w:trHeight w:val="515"/>
        </w:trPr>
        <w:tc>
          <w:tcPr>
            <w:tcW w:w="181" w:type="pct"/>
          </w:tcPr>
          <w:p w14:paraId="40BD326D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6E" w14:textId="77777777"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Potpora službi pri prijavi projekata</w:t>
            </w:r>
          </w:p>
        </w:tc>
        <w:tc>
          <w:tcPr>
            <w:tcW w:w="2314" w:type="pct"/>
          </w:tcPr>
          <w:p w14:paraId="40BD326F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Fakultet kontinuirano osigurava administrativnu potporu prijavi provođenju projekata</w:t>
            </w:r>
          </w:p>
        </w:tc>
        <w:tc>
          <w:tcPr>
            <w:tcW w:w="383" w:type="pct"/>
          </w:tcPr>
          <w:p w14:paraId="40BD3270" w14:textId="77777777"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40BD3271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Stručne službe FF, Ured za međunarodnu suradnju</w:t>
            </w:r>
          </w:p>
        </w:tc>
      </w:tr>
      <w:tr w:rsidR="008D3C59" w:rsidRPr="008B0E39" w14:paraId="40BD3278" w14:textId="77777777" w:rsidTr="001769E8">
        <w:trPr>
          <w:cantSplit/>
          <w:trHeight w:val="500"/>
        </w:trPr>
        <w:tc>
          <w:tcPr>
            <w:tcW w:w="181" w:type="pct"/>
          </w:tcPr>
          <w:p w14:paraId="40BD3273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74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Edukacija o prijavama projekata</w:t>
            </w:r>
          </w:p>
        </w:tc>
        <w:tc>
          <w:tcPr>
            <w:tcW w:w="2314" w:type="pct"/>
          </w:tcPr>
          <w:p w14:paraId="40BD3275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Ured za međunarodnu suradnju redovito organizira informativne radionice za prijavu na znanstvene projekte.</w:t>
            </w:r>
          </w:p>
        </w:tc>
        <w:tc>
          <w:tcPr>
            <w:tcW w:w="383" w:type="pct"/>
          </w:tcPr>
          <w:p w14:paraId="40BD3276" w14:textId="77777777"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40BD3277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međunarodnu suradnju</w:t>
            </w:r>
          </w:p>
        </w:tc>
      </w:tr>
      <w:tr w:rsidR="008D3C59" w:rsidRPr="008B0E39" w14:paraId="40BD327E" w14:textId="77777777" w:rsidTr="001769E8">
        <w:trPr>
          <w:cantSplit/>
          <w:trHeight w:val="500"/>
        </w:trPr>
        <w:tc>
          <w:tcPr>
            <w:tcW w:w="181" w:type="pct"/>
          </w:tcPr>
          <w:p w14:paraId="40BD3279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7A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14:paraId="40BD327B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40BD327C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40BD327D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BD327F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14:paraId="40BD3280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19"/>
        <w:gridCol w:w="2605"/>
        <w:gridCol w:w="5665"/>
        <w:gridCol w:w="1496"/>
        <w:gridCol w:w="2445"/>
      </w:tblGrid>
      <w:tr w:rsidR="008D3C59" w:rsidRPr="008B0E39" w14:paraId="40BD3282" w14:textId="77777777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40BD3281" w14:textId="77777777" w:rsidR="008D3C59" w:rsidRPr="008B0E39" w:rsidRDefault="008D3C59" w:rsidP="001769E8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5.2 Stručna djelatnost</w:t>
            </w:r>
          </w:p>
        </w:tc>
      </w:tr>
      <w:tr w:rsidR="008D3C59" w:rsidRPr="008B0E39" w14:paraId="40BD3287" w14:textId="77777777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14:paraId="40BD3283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14:paraId="40BD3284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14:paraId="40BD3285" w14:textId="77777777"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14:paraId="40BD3286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14:paraId="40BD328D" w14:textId="77777777" w:rsidTr="001769E8">
        <w:trPr>
          <w:cantSplit/>
          <w:trHeight w:val="515"/>
        </w:trPr>
        <w:tc>
          <w:tcPr>
            <w:tcW w:w="181" w:type="pct"/>
          </w:tcPr>
          <w:p w14:paraId="40BD3288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89" w14:textId="77777777"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Administrativna potpora stručnim projektima</w:t>
            </w:r>
          </w:p>
        </w:tc>
        <w:tc>
          <w:tcPr>
            <w:tcW w:w="2314" w:type="pct"/>
          </w:tcPr>
          <w:p w14:paraId="40BD328A" w14:textId="77777777" w:rsidR="008D3C59" w:rsidRPr="008B0E39" w:rsidRDefault="0004789C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>dministrativna potpora stručnim projektima</w:t>
            </w:r>
          </w:p>
        </w:tc>
        <w:tc>
          <w:tcPr>
            <w:tcW w:w="383" w:type="pct"/>
          </w:tcPr>
          <w:p w14:paraId="40BD328B" w14:textId="77777777"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40BD328C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Stručne službe FF, Uprava FF</w:t>
            </w:r>
          </w:p>
        </w:tc>
      </w:tr>
      <w:tr w:rsidR="008D3C59" w:rsidRPr="008B0E39" w14:paraId="40BD3293" w14:textId="77777777" w:rsidTr="001769E8">
        <w:trPr>
          <w:cantSplit/>
          <w:trHeight w:val="500"/>
        </w:trPr>
        <w:tc>
          <w:tcPr>
            <w:tcW w:w="181" w:type="pct"/>
          </w:tcPr>
          <w:p w14:paraId="40BD328E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8F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Evidencija stručnih projekata</w:t>
            </w:r>
          </w:p>
        </w:tc>
        <w:tc>
          <w:tcPr>
            <w:tcW w:w="2314" w:type="pct"/>
          </w:tcPr>
          <w:p w14:paraId="40BD3290" w14:textId="77777777"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V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>ođenje evidencije stručnih projekata</w:t>
            </w:r>
          </w:p>
        </w:tc>
        <w:tc>
          <w:tcPr>
            <w:tcW w:w="383" w:type="pct"/>
          </w:tcPr>
          <w:p w14:paraId="40BD3291" w14:textId="77777777"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40BD3292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Stručne službe FF, Uprava FF</w:t>
            </w:r>
          </w:p>
        </w:tc>
      </w:tr>
      <w:tr w:rsidR="008D3C59" w:rsidRPr="008B0E39" w14:paraId="40BD3299" w14:textId="77777777" w:rsidTr="001769E8">
        <w:trPr>
          <w:cantSplit/>
          <w:trHeight w:val="500"/>
        </w:trPr>
        <w:tc>
          <w:tcPr>
            <w:tcW w:w="181" w:type="pct"/>
          </w:tcPr>
          <w:p w14:paraId="40BD3294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295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Informacije o stručnim projektima</w:t>
            </w:r>
          </w:p>
        </w:tc>
        <w:tc>
          <w:tcPr>
            <w:tcW w:w="2314" w:type="pct"/>
          </w:tcPr>
          <w:p w14:paraId="40BD3296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Informacije o stručnim projektima objavljuju se na web stranicama fakulteta.</w:t>
            </w:r>
          </w:p>
        </w:tc>
        <w:tc>
          <w:tcPr>
            <w:tcW w:w="383" w:type="pct"/>
          </w:tcPr>
          <w:p w14:paraId="40BD3297" w14:textId="77777777"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40BD3298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BD329A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3"/>
        <w:gridCol w:w="2619"/>
        <w:gridCol w:w="5679"/>
        <w:gridCol w:w="1443"/>
        <w:gridCol w:w="2456"/>
      </w:tblGrid>
      <w:tr w:rsidR="008D3C59" w:rsidRPr="008B0E39" w14:paraId="40BD329C" w14:textId="77777777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40BD329B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Resursi za učenje i podrška studentima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1.6]</w:t>
            </w:r>
          </w:p>
        </w:tc>
      </w:tr>
      <w:tr w:rsidR="008D3C59" w:rsidRPr="008B0E39" w14:paraId="40BD32A1" w14:textId="77777777" w:rsidTr="0007020C">
        <w:trPr>
          <w:trHeight w:val="988"/>
          <w:tblHeader/>
        </w:trPr>
        <w:tc>
          <w:tcPr>
            <w:tcW w:w="1178" w:type="pct"/>
            <w:gridSpan w:val="2"/>
            <w:vAlign w:val="center"/>
          </w:tcPr>
          <w:p w14:paraId="40BD329D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6" w:type="pct"/>
            <w:vAlign w:val="center"/>
          </w:tcPr>
          <w:p w14:paraId="40BD329E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76" w:type="pct"/>
            <w:vAlign w:val="center"/>
          </w:tcPr>
          <w:p w14:paraId="40BD329F" w14:textId="77777777"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80" w:type="pct"/>
            <w:vAlign w:val="center"/>
          </w:tcPr>
          <w:p w14:paraId="40BD32A0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14:paraId="40BD32A8" w14:textId="77777777" w:rsidTr="0007020C">
        <w:trPr>
          <w:cantSplit/>
          <w:trHeight w:val="515"/>
        </w:trPr>
        <w:tc>
          <w:tcPr>
            <w:tcW w:w="133" w:type="pct"/>
          </w:tcPr>
          <w:p w14:paraId="40BD32A2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40BD32A3" w14:textId="77777777"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Nastavak rada na prilagodbi nastavnih materijala studentima s invaliditetom</w:t>
            </w:r>
          </w:p>
        </w:tc>
        <w:tc>
          <w:tcPr>
            <w:tcW w:w="2266" w:type="pct"/>
          </w:tcPr>
          <w:p w14:paraId="40BD32A4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Fakultet provodi prilagodbu nastavnih materijala za studente s invaliditetom.</w:t>
            </w:r>
          </w:p>
        </w:tc>
        <w:tc>
          <w:tcPr>
            <w:tcW w:w="576" w:type="pct"/>
          </w:tcPr>
          <w:p w14:paraId="40BD32A5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0" w:type="pct"/>
          </w:tcPr>
          <w:p w14:paraId="40BD32A6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Ured za studente s invaliditetom</w:t>
            </w:r>
          </w:p>
          <w:p w14:paraId="40BD32A7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Centar za potporu e-učenje</w:t>
            </w:r>
          </w:p>
        </w:tc>
      </w:tr>
      <w:tr w:rsidR="008D3C59" w:rsidRPr="008B0E39" w14:paraId="40BD32AE" w14:textId="77777777" w:rsidTr="0007020C">
        <w:trPr>
          <w:cantSplit/>
          <w:trHeight w:val="500"/>
        </w:trPr>
        <w:tc>
          <w:tcPr>
            <w:tcW w:w="133" w:type="pct"/>
          </w:tcPr>
          <w:p w14:paraId="40BD32A9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40BD32AA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Osiguranje pretplata na baze znanstvenih časopisa</w:t>
            </w:r>
          </w:p>
        </w:tc>
        <w:tc>
          <w:tcPr>
            <w:tcW w:w="2266" w:type="pct"/>
          </w:tcPr>
          <w:p w14:paraId="40BD32AB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Fakultet će se truditi ovisno o financijskim sredstvima osigurati pristup bazama znanstvenih časopisa. </w:t>
            </w:r>
          </w:p>
        </w:tc>
        <w:tc>
          <w:tcPr>
            <w:tcW w:w="576" w:type="pct"/>
          </w:tcPr>
          <w:p w14:paraId="40BD32AC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0" w:type="pct"/>
          </w:tcPr>
          <w:p w14:paraId="40BD32AD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Knjižnica, Uprava</w:t>
            </w:r>
          </w:p>
        </w:tc>
      </w:tr>
      <w:tr w:rsidR="008D3C59" w:rsidRPr="008B0E39" w14:paraId="40BD32B4" w14:textId="77777777" w:rsidTr="0007020C">
        <w:trPr>
          <w:cantSplit/>
          <w:trHeight w:val="500"/>
        </w:trPr>
        <w:tc>
          <w:tcPr>
            <w:tcW w:w="133" w:type="pct"/>
          </w:tcPr>
          <w:p w14:paraId="40BD32AF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40BD32B0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Povećanje razine postojećih e-kolegija </w:t>
            </w:r>
          </w:p>
        </w:tc>
        <w:tc>
          <w:tcPr>
            <w:tcW w:w="2266" w:type="pct"/>
          </w:tcPr>
          <w:p w14:paraId="40BD32B1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Kroz edukaciju nastavnika poticat će se povećanje razine postojećih e-kolegija na drugu, odnosno treću razinu.</w:t>
            </w:r>
          </w:p>
        </w:tc>
        <w:tc>
          <w:tcPr>
            <w:tcW w:w="576" w:type="pct"/>
          </w:tcPr>
          <w:p w14:paraId="40BD32B2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0" w:type="pct"/>
          </w:tcPr>
          <w:p w14:paraId="40BD32B3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Centar za potporu e-učenju</w:t>
            </w:r>
          </w:p>
        </w:tc>
      </w:tr>
      <w:tr w:rsidR="008D3C59" w:rsidRPr="008B0E39" w14:paraId="40BD32BA" w14:textId="77777777" w:rsidTr="0007020C">
        <w:trPr>
          <w:cantSplit/>
          <w:trHeight w:val="500"/>
        </w:trPr>
        <w:tc>
          <w:tcPr>
            <w:tcW w:w="133" w:type="pct"/>
          </w:tcPr>
          <w:p w14:paraId="40BD32B5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40BD32B6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Osiguravanje pristupa na elektronske baze znanstvenih radova</w:t>
            </w:r>
          </w:p>
        </w:tc>
        <w:tc>
          <w:tcPr>
            <w:tcW w:w="2266" w:type="pct"/>
          </w:tcPr>
          <w:p w14:paraId="40BD32B7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40BD32B8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0" w:type="pct"/>
          </w:tcPr>
          <w:p w14:paraId="40BD32B9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</w:t>
            </w:r>
          </w:p>
        </w:tc>
      </w:tr>
    </w:tbl>
    <w:p w14:paraId="40BD32BB" w14:textId="5B246B77" w:rsidR="005C7A5F" w:rsidRDefault="005C7A5F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14:paraId="1F3BA6CC" w14:textId="77777777" w:rsidR="005C7A5F" w:rsidRDefault="005C7A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9D1A7EF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19"/>
        <w:gridCol w:w="2606"/>
        <w:gridCol w:w="5666"/>
        <w:gridCol w:w="1496"/>
        <w:gridCol w:w="2443"/>
      </w:tblGrid>
      <w:tr w:rsidR="008D3C59" w:rsidRPr="008B0E39" w14:paraId="40BD32BD" w14:textId="77777777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40BD32BC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Upravljanje informacijama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1.7]</w:t>
            </w:r>
          </w:p>
        </w:tc>
      </w:tr>
      <w:tr w:rsidR="008D3C59" w:rsidRPr="008B0E39" w14:paraId="40BD32C2" w14:textId="77777777" w:rsidTr="008D21ED">
        <w:trPr>
          <w:trHeight w:val="988"/>
          <w:tblHeader/>
        </w:trPr>
        <w:tc>
          <w:tcPr>
            <w:tcW w:w="1167" w:type="pct"/>
            <w:gridSpan w:val="2"/>
            <w:vAlign w:val="center"/>
          </w:tcPr>
          <w:p w14:paraId="40BD32BE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1" w:type="pct"/>
            <w:vAlign w:val="center"/>
          </w:tcPr>
          <w:p w14:paraId="40BD32BF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97" w:type="pct"/>
            <w:vAlign w:val="center"/>
          </w:tcPr>
          <w:p w14:paraId="40BD32C0" w14:textId="77777777"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76" w:type="pct"/>
            <w:vAlign w:val="center"/>
          </w:tcPr>
          <w:p w14:paraId="40BD32C1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14:paraId="40BD32C8" w14:textId="77777777" w:rsidTr="008D21ED">
        <w:trPr>
          <w:cantSplit/>
          <w:trHeight w:val="515"/>
        </w:trPr>
        <w:tc>
          <w:tcPr>
            <w:tcW w:w="127" w:type="pct"/>
          </w:tcPr>
          <w:p w14:paraId="40BD32C3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40BD32C4" w14:textId="77777777" w:rsidR="008D3C59" w:rsidRPr="008B0E39" w:rsidRDefault="00AC2428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Usklađivanje s odredbama </w:t>
            </w:r>
            <w:r w:rsidR="000E4EE9">
              <w:rPr>
                <w:rFonts w:ascii="Times New Roman" w:hAnsi="Times New Roman"/>
                <w:sz w:val="24"/>
                <w:szCs w:val="24"/>
              </w:rPr>
              <w:t>GDPR</w:t>
            </w:r>
            <w:r>
              <w:rPr>
                <w:rFonts w:ascii="Times New Roman" w:hAnsi="Times New Roman"/>
                <w:sz w:val="24"/>
                <w:szCs w:val="24"/>
              </w:rPr>
              <w:t>-a</w:t>
            </w:r>
          </w:p>
        </w:tc>
        <w:tc>
          <w:tcPr>
            <w:tcW w:w="2261" w:type="pct"/>
          </w:tcPr>
          <w:p w14:paraId="40BD32C5" w14:textId="77777777" w:rsidR="008D3C59" w:rsidRPr="008B0E39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Upravljanje informacijama i osobnim podacima unutar Fakulteta usklađeno s odredbama GDPR-a. Osobni podaci se ne objavljuju javno, a izjava o upravljanju informacijama  o studentima i tajnosti osobnih podataka studenata ugrađena u Ugovore o studiranju  </w:t>
            </w:r>
          </w:p>
        </w:tc>
        <w:tc>
          <w:tcPr>
            <w:tcW w:w="597" w:type="pct"/>
          </w:tcPr>
          <w:p w14:paraId="40BD32C6" w14:textId="77777777" w:rsidR="008D3C59" w:rsidRPr="008B0E39" w:rsidRDefault="00AC2428" w:rsidP="0007020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976" w:type="pct"/>
          </w:tcPr>
          <w:p w14:paraId="40BD32C7" w14:textId="77777777" w:rsidR="008D3C59" w:rsidRPr="008B0E39" w:rsidRDefault="00AC2428" w:rsidP="00143067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Uprava, Studentska služba, Ured za ISVU, </w:t>
            </w:r>
            <w:r w:rsidR="00143067">
              <w:rPr>
                <w:rFonts w:ascii="Times New Roman" w:hAnsi="Times New Roman"/>
                <w:sz w:val="24"/>
                <w:szCs w:val="24"/>
              </w:rPr>
              <w:t>Odsjeci, SZ</w:t>
            </w:r>
          </w:p>
        </w:tc>
      </w:tr>
      <w:tr w:rsidR="008D3C59" w:rsidRPr="008B0E39" w14:paraId="40BD32CE" w14:textId="77777777" w:rsidTr="008D21ED">
        <w:trPr>
          <w:cantSplit/>
          <w:trHeight w:val="500"/>
        </w:trPr>
        <w:tc>
          <w:tcPr>
            <w:tcW w:w="127" w:type="pct"/>
          </w:tcPr>
          <w:p w14:paraId="40BD32C9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40BD32CA" w14:textId="77777777" w:rsidR="008D3C59" w:rsidRPr="008B0E39" w:rsidRDefault="00143067" w:rsidP="001430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Usklađivanje svih procedura studiranja i upravljanje informacijama o  njima unutar Fakulteta</w:t>
            </w:r>
          </w:p>
        </w:tc>
        <w:tc>
          <w:tcPr>
            <w:tcW w:w="2261" w:type="pct"/>
          </w:tcPr>
          <w:p w14:paraId="40BD32CB" w14:textId="4384BA76" w:rsidR="008D3C59" w:rsidRPr="008B0E39" w:rsidRDefault="0014306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Redoviti radni sastanci koji uključuju sve čimbenike u procesu – administraciju, upravu, studente </w:t>
            </w:r>
          </w:p>
        </w:tc>
        <w:tc>
          <w:tcPr>
            <w:tcW w:w="597" w:type="pct"/>
          </w:tcPr>
          <w:p w14:paraId="40BD32CC" w14:textId="77777777" w:rsidR="008D3C59" w:rsidRPr="008B0E39" w:rsidRDefault="00143067" w:rsidP="0007020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976" w:type="pct"/>
          </w:tcPr>
          <w:p w14:paraId="40BD32CD" w14:textId="77777777" w:rsidR="008D3C59" w:rsidRPr="008B0E39" w:rsidRDefault="0014306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Studentska služba, Ured za ISVU, Odsjeci, SZ</w:t>
            </w:r>
          </w:p>
        </w:tc>
      </w:tr>
      <w:tr w:rsidR="00D60FB9" w:rsidRPr="008B0E39" w14:paraId="40BD32DA" w14:textId="77777777" w:rsidTr="008D21ED">
        <w:trPr>
          <w:cantSplit/>
          <w:trHeight w:val="500"/>
        </w:trPr>
        <w:tc>
          <w:tcPr>
            <w:tcW w:w="127" w:type="pct"/>
          </w:tcPr>
          <w:p w14:paraId="40BD32D5" w14:textId="77777777" w:rsidR="00D60FB9" w:rsidRPr="008B0E39" w:rsidRDefault="00D60FB9" w:rsidP="001769E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40BD32D6" w14:textId="77777777" w:rsidR="00D60FB9" w:rsidRDefault="00BB7B1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Unapređenje sustava razvoja karijere i upravljanje informacijama za i o alumnima</w:t>
            </w:r>
          </w:p>
        </w:tc>
        <w:tc>
          <w:tcPr>
            <w:tcW w:w="2261" w:type="pct"/>
          </w:tcPr>
          <w:p w14:paraId="40BD32D7" w14:textId="72125A47" w:rsidR="00D60FB9" w:rsidRDefault="00BB7B1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Edukacije za studente pred završetkom studija. Uključivanje alumnija u prezentaciju i promidžbu Fakulteta </w:t>
            </w:r>
          </w:p>
        </w:tc>
        <w:tc>
          <w:tcPr>
            <w:tcW w:w="597" w:type="pct"/>
          </w:tcPr>
          <w:p w14:paraId="40BD32D8" w14:textId="77777777" w:rsidR="00D60FB9" w:rsidRDefault="00BB7B17" w:rsidP="0007020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976" w:type="pct"/>
          </w:tcPr>
          <w:p w14:paraId="40BD32D9" w14:textId="77777777" w:rsidR="00D60FB9" w:rsidRDefault="00BB7B1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Centar za razvoj karijere</w:t>
            </w:r>
          </w:p>
        </w:tc>
      </w:tr>
    </w:tbl>
    <w:p w14:paraId="40BD32DB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14:paraId="40BD32DC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3"/>
        <w:gridCol w:w="2619"/>
        <w:gridCol w:w="5679"/>
        <w:gridCol w:w="1443"/>
        <w:gridCol w:w="2456"/>
      </w:tblGrid>
      <w:tr w:rsidR="008D3C59" w:rsidRPr="008B0E39" w14:paraId="40BD32DE" w14:textId="77777777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40BD32DD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Informiranje javnosti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1.8]</w:t>
            </w:r>
          </w:p>
        </w:tc>
      </w:tr>
      <w:tr w:rsidR="008D3C59" w:rsidRPr="008B0E39" w14:paraId="40BD32E3" w14:textId="77777777" w:rsidTr="001769E8">
        <w:trPr>
          <w:trHeight w:val="988"/>
          <w:tblHeader/>
        </w:trPr>
        <w:tc>
          <w:tcPr>
            <w:tcW w:w="1178" w:type="pct"/>
            <w:gridSpan w:val="2"/>
            <w:vAlign w:val="center"/>
          </w:tcPr>
          <w:p w14:paraId="40BD32DF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6" w:type="pct"/>
            <w:vAlign w:val="center"/>
          </w:tcPr>
          <w:p w14:paraId="40BD32E0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76" w:type="pct"/>
            <w:vAlign w:val="center"/>
          </w:tcPr>
          <w:p w14:paraId="40BD32E1" w14:textId="77777777"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81" w:type="pct"/>
            <w:vAlign w:val="center"/>
          </w:tcPr>
          <w:p w14:paraId="40BD32E2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14:paraId="40BD32E9" w14:textId="77777777" w:rsidTr="001769E8">
        <w:trPr>
          <w:cantSplit/>
          <w:trHeight w:val="515"/>
        </w:trPr>
        <w:tc>
          <w:tcPr>
            <w:tcW w:w="133" w:type="pct"/>
          </w:tcPr>
          <w:p w14:paraId="40BD32E4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40BD32E5" w14:textId="77777777"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Pr</w:t>
            </w:r>
            <w:r w:rsidR="0004789C" w:rsidRPr="008B0E39">
              <w:rPr>
                <w:rFonts w:ascii="Times New Roman" w:hAnsi="Times New Roman"/>
                <w:sz w:val="24"/>
                <w:szCs w:val="24"/>
              </w:rPr>
              <w:t>i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sutnost na društvenim mrežama</w:t>
            </w:r>
          </w:p>
        </w:tc>
        <w:tc>
          <w:tcPr>
            <w:tcW w:w="2266" w:type="pct"/>
          </w:tcPr>
          <w:p w14:paraId="40BD32E6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 sudjelovanje na društvenim mrežama putem objava relevantnih informacija i aktivne komunikacije sa zainteresiranim korisnicima.</w:t>
            </w:r>
          </w:p>
        </w:tc>
        <w:tc>
          <w:tcPr>
            <w:tcW w:w="576" w:type="pct"/>
          </w:tcPr>
          <w:p w14:paraId="40BD32E7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14:paraId="40BD32E8" w14:textId="77777777"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informiranje</w:t>
            </w:r>
          </w:p>
        </w:tc>
      </w:tr>
      <w:tr w:rsidR="008D3C59" w:rsidRPr="008B0E39" w14:paraId="40BD32EF" w14:textId="77777777" w:rsidTr="001769E8">
        <w:trPr>
          <w:cantSplit/>
          <w:trHeight w:val="500"/>
        </w:trPr>
        <w:tc>
          <w:tcPr>
            <w:tcW w:w="133" w:type="pct"/>
          </w:tcPr>
          <w:p w14:paraId="40BD32EA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40BD32EB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Sudjelovanje na </w:t>
            </w:r>
            <w:r w:rsidR="0004789C" w:rsidRPr="008B0E39">
              <w:rPr>
                <w:rFonts w:ascii="Times New Roman" w:hAnsi="Times New Roman"/>
                <w:sz w:val="24"/>
                <w:szCs w:val="24"/>
              </w:rPr>
              <w:t>S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motri Sveučilišta u Zagrebu</w:t>
            </w:r>
          </w:p>
        </w:tc>
        <w:tc>
          <w:tcPr>
            <w:tcW w:w="2266" w:type="pct"/>
          </w:tcPr>
          <w:p w14:paraId="40BD32EC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Prezentacija Filozofskog fakulteta.</w:t>
            </w:r>
          </w:p>
        </w:tc>
        <w:tc>
          <w:tcPr>
            <w:tcW w:w="576" w:type="pct"/>
          </w:tcPr>
          <w:p w14:paraId="40BD32ED" w14:textId="77777777" w:rsidR="008D3C59" w:rsidRPr="008B0E39" w:rsidRDefault="0007020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Sukladno datumu</w:t>
            </w:r>
          </w:p>
        </w:tc>
        <w:tc>
          <w:tcPr>
            <w:tcW w:w="981" w:type="pct"/>
          </w:tcPr>
          <w:p w14:paraId="40BD32EE" w14:textId="77777777"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Uprava, Ured za informiranje, nastavnici i studenti </w:t>
            </w:r>
          </w:p>
        </w:tc>
      </w:tr>
      <w:tr w:rsidR="008D3C59" w:rsidRPr="008B0E39" w14:paraId="40BD32F5" w14:textId="77777777" w:rsidTr="001769E8">
        <w:trPr>
          <w:cantSplit/>
          <w:trHeight w:val="500"/>
        </w:trPr>
        <w:tc>
          <w:tcPr>
            <w:tcW w:w="133" w:type="pct"/>
          </w:tcPr>
          <w:p w14:paraId="40BD32F0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40BD32F1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Ogranizacija Dana otvorenih vrata Filozofskog fakulteta</w:t>
            </w:r>
          </w:p>
        </w:tc>
        <w:tc>
          <w:tcPr>
            <w:tcW w:w="2266" w:type="pct"/>
          </w:tcPr>
          <w:p w14:paraId="40BD32F2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Predstavljanje studijskih programa i </w:t>
            </w:r>
            <w:r w:rsidR="0004789C" w:rsidRPr="008B0E39">
              <w:rPr>
                <w:rFonts w:ascii="Times New Roman" w:hAnsi="Times New Roman"/>
                <w:sz w:val="24"/>
                <w:szCs w:val="24"/>
              </w:rPr>
              <w:t>F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akulteta u cjelini učenicima srednjh škola te ostaloj zainteresiranoj javnosti.</w:t>
            </w:r>
          </w:p>
        </w:tc>
        <w:tc>
          <w:tcPr>
            <w:tcW w:w="576" w:type="pct"/>
          </w:tcPr>
          <w:p w14:paraId="40BD32F3" w14:textId="77777777" w:rsidR="008D3C59" w:rsidRPr="008B0E39" w:rsidRDefault="0007020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Sukladno datumu</w:t>
            </w:r>
          </w:p>
        </w:tc>
        <w:tc>
          <w:tcPr>
            <w:tcW w:w="981" w:type="pct"/>
          </w:tcPr>
          <w:p w14:paraId="40BD32F4" w14:textId="77777777"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informiranje</w:t>
            </w:r>
          </w:p>
        </w:tc>
      </w:tr>
      <w:tr w:rsidR="008D3C59" w:rsidRPr="008B0E39" w14:paraId="40BD32FB" w14:textId="77777777" w:rsidTr="001769E8">
        <w:trPr>
          <w:cantSplit/>
          <w:trHeight w:val="500"/>
        </w:trPr>
        <w:tc>
          <w:tcPr>
            <w:tcW w:w="133" w:type="pct"/>
          </w:tcPr>
          <w:p w14:paraId="40BD32F6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40BD32F7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Objava svih javnih dokumenata i obavijesti na web stranicama fakulteta</w:t>
            </w:r>
          </w:p>
        </w:tc>
        <w:tc>
          <w:tcPr>
            <w:tcW w:w="2266" w:type="pct"/>
          </w:tcPr>
          <w:p w14:paraId="40BD32F8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 web stranicama fakulteta se objavljuju svi javni dokumenti i obavijesti o događanjima.</w:t>
            </w:r>
          </w:p>
        </w:tc>
        <w:tc>
          <w:tcPr>
            <w:tcW w:w="576" w:type="pct"/>
          </w:tcPr>
          <w:p w14:paraId="40BD32F9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14:paraId="40BD32FA" w14:textId="77777777"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informiranje</w:t>
            </w:r>
          </w:p>
        </w:tc>
      </w:tr>
      <w:tr w:rsidR="0004789C" w:rsidRPr="008B0E39" w14:paraId="40BD3301" w14:textId="77777777" w:rsidTr="001769E8">
        <w:trPr>
          <w:cantSplit/>
          <w:trHeight w:val="500"/>
        </w:trPr>
        <w:tc>
          <w:tcPr>
            <w:tcW w:w="133" w:type="pct"/>
          </w:tcPr>
          <w:p w14:paraId="40BD32FC" w14:textId="77777777" w:rsidR="0004789C" w:rsidRPr="008B0E39" w:rsidRDefault="0004789C" w:rsidP="001769E8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40BD32FD" w14:textId="77777777" w:rsidR="0004789C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Posjete srednjim školama diljem RH</w:t>
            </w:r>
          </w:p>
        </w:tc>
        <w:tc>
          <w:tcPr>
            <w:tcW w:w="2266" w:type="pct"/>
          </w:tcPr>
          <w:p w14:paraId="40BD32FE" w14:textId="77777777" w:rsidR="0004789C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Predstavljanje studijskih programa i Fakulteta u cjelini učenicima srednjh škola</w:t>
            </w:r>
          </w:p>
        </w:tc>
        <w:tc>
          <w:tcPr>
            <w:tcW w:w="576" w:type="pct"/>
          </w:tcPr>
          <w:p w14:paraId="40BD32FF" w14:textId="77777777" w:rsidR="0004789C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14:paraId="40BD3300" w14:textId="77777777" w:rsidR="0004789C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informiranje, nastavnici</w:t>
            </w:r>
          </w:p>
        </w:tc>
      </w:tr>
    </w:tbl>
    <w:p w14:paraId="40BD3302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14:paraId="40BD3303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3"/>
        <w:gridCol w:w="2619"/>
        <w:gridCol w:w="5679"/>
        <w:gridCol w:w="1443"/>
        <w:gridCol w:w="2456"/>
      </w:tblGrid>
      <w:tr w:rsidR="008D3C59" w:rsidRPr="008B0E39" w14:paraId="40BD3305" w14:textId="77777777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40BD3304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Mobilnost i međunarodna suradnja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</w:t>
            </w:r>
            <w:hyperlink r:id="rId8" w:history="1">
              <w:r w:rsidRPr="008B0E39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Priručnik</w:t>
              </w:r>
            </w:hyperlink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, područje br.8]</w:t>
            </w:r>
          </w:p>
        </w:tc>
      </w:tr>
      <w:tr w:rsidR="008D3C59" w:rsidRPr="008B0E39" w14:paraId="40BD330A" w14:textId="77777777" w:rsidTr="003C3653">
        <w:trPr>
          <w:trHeight w:val="988"/>
          <w:tblHeader/>
        </w:trPr>
        <w:tc>
          <w:tcPr>
            <w:tcW w:w="1178" w:type="pct"/>
            <w:gridSpan w:val="2"/>
            <w:vAlign w:val="center"/>
          </w:tcPr>
          <w:p w14:paraId="40BD3306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6" w:type="pct"/>
            <w:vAlign w:val="center"/>
          </w:tcPr>
          <w:p w14:paraId="40BD3307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76" w:type="pct"/>
            <w:vAlign w:val="center"/>
          </w:tcPr>
          <w:p w14:paraId="40BD3308" w14:textId="77777777"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81" w:type="pct"/>
            <w:vAlign w:val="center"/>
          </w:tcPr>
          <w:p w14:paraId="40BD3309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14:paraId="40BD3310" w14:textId="77777777" w:rsidTr="003C3653">
        <w:trPr>
          <w:cantSplit/>
          <w:trHeight w:val="515"/>
        </w:trPr>
        <w:tc>
          <w:tcPr>
            <w:tcW w:w="133" w:type="pct"/>
          </w:tcPr>
          <w:p w14:paraId="40BD330B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40BD330C" w14:textId="77777777"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Obnavljanje i sklapanje novih ugovora o međunarodnoj mobilnosti</w:t>
            </w:r>
          </w:p>
        </w:tc>
        <w:tc>
          <w:tcPr>
            <w:tcW w:w="2266" w:type="pct"/>
          </w:tcPr>
          <w:p w14:paraId="40BD330D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Potpisani novi sporazumi o međunarodnoj mobilnosti</w:t>
            </w:r>
          </w:p>
        </w:tc>
        <w:tc>
          <w:tcPr>
            <w:tcW w:w="576" w:type="pct"/>
          </w:tcPr>
          <w:p w14:paraId="40BD330E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14:paraId="40BD330F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međunarodnu suradnju</w:t>
            </w:r>
          </w:p>
        </w:tc>
      </w:tr>
    </w:tbl>
    <w:p w14:paraId="40BD331D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3"/>
        <w:gridCol w:w="2618"/>
        <w:gridCol w:w="5678"/>
        <w:gridCol w:w="1443"/>
        <w:gridCol w:w="2458"/>
      </w:tblGrid>
      <w:tr w:rsidR="008D3C59" w:rsidRPr="008B0E39" w14:paraId="40BD331F" w14:textId="77777777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40BD331E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Periodička vanjska vrjednovanja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1.10]</w:t>
            </w:r>
          </w:p>
        </w:tc>
      </w:tr>
      <w:tr w:rsidR="008D3C59" w:rsidRPr="008B0E39" w14:paraId="40BD3324" w14:textId="77777777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14:paraId="40BD3320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14:paraId="40BD3321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14:paraId="40BD3322" w14:textId="77777777"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14:paraId="40BD3323" w14:textId="77777777"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14:paraId="40BD332A" w14:textId="77777777" w:rsidTr="001769E8">
        <w:trPr>
          <w:cantSplit/>
          <w:trHeight w:val="515"/>
        </w:trPr>
        <w:tc>
          <w:tcPr>
            <w:tcW w:w="181" w:type="pct"/>
          </w:tcPr>
          <w:p w14:paraId="40BD3325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326" w14:textId="77777777" w:rsidR="008D3C59" w:rsidRPr="008B0E39" w:rsidRDefault="008B0E39" w:rsidP="0007020C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Priprema za ciklus reakreditacije</w:t>
            </w:r>
          </w:p>
        </w:tc>
        <w:tc>
          <w:tcPr>
            <w:tcW w:w="2314" w:type="pct"/>
          </w:tcPr>
          <w:p w14:paraId="40BD3327" w14:textId="04EC20AB" w:rsidR="008D3C59" w:rsidRPr="008B0E39" w:rsidRDefault="008B0E3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Početak priprema za sljedeći ciklus </w:t>
            </w:r>
            <w:r w:rsidR="000D7567">
              <w:rPr>
                <w:rFonts w:ascii="Times New Roman" w:hAnsi="Times New Roman"/>
                <w:sz w:val="24"/>
                <w:szCs w:val="24"/>
              </w:rPr>
              <w:t>re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akreditacije, izrada plana i priprema analiza.</w:t>
            </w:r>
          </w:p>
        </w:tc>
        <w:tc>
          <w:tcPr>
            <w:tcW w:w="383" w:type="pct"/>
          </w:tcPr>
          <w:p w14:paraId="40BD3328" w14:textId="77777777" w:rsidR="008D3C59" w:rsidRPr="008B0E39" w:rsidRDefault="0007020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40BD3329" w14:textId="3BA878EF" w:rsidR="008D3C59" w:rsidRPr="008B0E39" w:rsidRDefault="008B0E3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Povjerenstvo za osiguravanje kvalitete,</w:t>
            </w:r>
            <w:r w:rsidR="005C7A5F">
              <w:rPr>
                <w:rFonts w:ascii="Times New Roman" w:hAnsi="Times New Roman"/>
                <w:sz w:val="24"/>
                <w:szCs w:val="24"/>
              </w:rPr>
              <w:t xml:space="preserve"> Ured za kvalitetu,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 xml:space="preserve"> odsjeci, službe</w:t>
            </w:r>
          </w:p>
        </w:tc>
      </w:tr>
      <w:tr w:rsidR="008D3C59" w:rsidRPr="008B0E39" w14:paraId="40BD3330" w14:textId="77777777" w:rsidTr="001769E8">
        <w:trPr>
          <w:cantSplit/>
          <w:trHeight w:val="500"/>
        </w:trPr>
        <w:tc>
          <w:tcPr>
            <w:tcW w:w="181" w:type="pct"/>
          </w:tcPr>
          <w:p w14:paraId="40BD332B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32C" w14:textId="77777777" w:rsidR="008D3C59" w:rsidRPr="008B0E39" w:rsidRDefault="008B0E3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Dan kvalitete Filozofskog fakulteta</w:t>
            </w:r>
          </w:p>
        </w:tc>
        <w:tc>
          <w:tcPr>
            <w:tcW w:w="2314" w:type="pct"/>
          </w:tcPr>
          <w:p w14:paraId="40BD332D" w14:textId="77777777" w:rsidR="008D3C59" w:rsidRPr="008B0E39" w:rsidRDefault="008B0E39" w:rsidP="0007020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Organizacija Dana kvalitete s temom „Priprema za drugi ciklus reakreditacije“</w:t>
            </w:r>
          </w:p>
        </w:tc>
        <w:tc>
          <w:tcPr>
            <w:tcW w:w="383" w:type="pct"/>
          </w:tcPr>
          <w:p w14:paraId="40BD332E" w14:textId="77777777" w:rsidR="008D3C59" w:rsidRPr="008B0E39" w:rsidRDefault="0007020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Veljača 2021</w:t>
            </w:r>
          </w:p>
        </w:tc>
        <w:tc>
          <w:tcPr>
            <w:tcW w:w="1029" w:type="pct"/>
          </w:tcPr>
          <w:p w14:paraId="40BD332F" w14:textId="09DC8C08" w:rsidR="008D3C59" w:rsidRPr="008B0E39" w:rsidRDefault="008B0E3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Povjerenstvo za osiguravanje kvalitete</w:t>
            </w:r>
            <w:r w:rsidR="00E8667F">
              <w:rPr>
                <w:rFonts w:ascii="Times New Roman" w:hAnsi="Times New Roman"/>
                <w:sz w:val="24"/>
                <w:szCs w:val="24"/>
              </w:rPr>
              <w:t>, Ured za kvalitetu</w:t>
            </w:r>
          </w:p>
        </w:tc>
      </w:tr>
      <w:tr w:rsidR="008D3C59" w:rsidRPr="008B0E39" w14:paraId="40BD3336" w14:textId="77777777" w:rsidTr="001769E8">
        <w:trPr>
          <w:cantSplit/>
          <w:trHeight w:val="500"/>
        </w:trPr>
        <w:tc>
          <w:tcPr>
            <w:tcW w:w="181" w:type="pct"/>
          </w:tcPr>
          <w:p w14:paraId="40BD3331" w14:textId="77777777"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0BD3332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14:paraId="40BD3333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40BD3334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40BD3335" w14:textId="77777777"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BD3337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14:paraId="40BD3338" w14:textId="354686DF" w:rsidR="008D3C59" w:rsidRPr="008B0E39" w:rsidRDefault="008D3C59" w:rsidP="008D3C59">
      <w:pPr>
        <w:keepNext/>
        <w:keepLines/>
        <w:jc w:val="both"/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lastRenderedPageBreak/>
        <w:t xml:space="preserve">Članovi Povjerenstva za </w:t>
      </w:r>
      <w:r w:rsidR="00543087">
        <w:rPr>
          <w:rFonts w:ascii="Times New Roman" w:hAnsi="Times New Roman"/>
          <w:b/>
          <w:sz w:val="24"/>
          <w:szCs w:val="24"/>
        </w:rPr>
        <w:t>osiguravanje</w:t>
      </w:r>
      <w:r w:rsidR="00543087" w:rsidRPr="008B0E39">
        <w:rPr>
          <w:rFonts w:ascii="Times New Roman" w:hAnsi="Times New Roman"/>
          <w:b/>
          <w:sz w:val="24"/>
          <w:szCs w:val="24"/>
        </w:rPr>
        <w:t xml:space="preserve"> </w:t>
      </w:r>
      <w:r w:rsidRPr="008B0E39">
        <w:rPr>
          <w:rFonts w:ascii="Times New Roman" w:hAnsi="Times New Roman"/>
          <w:b/>
          <w:sz w:val="24"/>
          <w:szCs w:val="24"/>
        </w:rPr>
        <w:t>kvalitet</w:t>
      </w:r>
      <w:r w:rsidR="00543087">
        <w:rPr>
          <w:rFonts w:ascii="Times New Roman" w:hAnsi="Times New Roman"/>
          <w:b/>
          <w:sz w:val="24"/>
          <w:szCs w:val="24"/>
        </w:rPr>
        <w:t xml:space="preserve">e </w:t>
      </w:r>
      <w:r w:rsidRPr="008B0E39">
        <w:rPr>
          <w:rFonts w:ascii="Times New Roman" w:hAnsi="Times New Roman"/>
          <w:b/>
          <w:sz w:val="24"/>
          <w:szCs w:val="24"/>
        </w:rPr>
        <w:t>sastavnice:</w:t>
      </w:r>
    </w:p>
    <w:p w14:paraId="1CAC591B" w14:textId="77777777" w:rsidR="0019289C" w:rsidRDefault="0019289C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  <w:sectPr w:rsidR="0019289C" w:rsidSect="00B56E83">
          <w:headerReference w:type="default" r:id="rId9"/>
          <w:footerReference w:type="default" r:id="rId10"/>
          <w:pgSz w:w="16838" w:h="11906" w:orient="landscape"/>
          <w:pgMar w:top="1440" w:right="1418" w:bottom="1440" w:left="2880" w:header="567" w:footer="40" w:gutter="0"/>
          <w:cols w:space="708"/>
          <w:docGrid w:linePitch="360"/>
        </w:sectPr>
      </w:pPr>
    </w:p>
    <w:p w14:paraId="3F99CFB0" w14:textId="3ACB19DF" w:rsidR="00A015EE" w:rsidRPr="0019289C" w:rsidRDefault="00A015EE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19289C">
        <w:rPr>
          <w:rFonts w:ascii="Cambria" w:hAnsi="Cambria"/>
        </w:rPr>
        <w:t xml:space="preserve">izv. prof. dr. sc. Anton Vukelić </w:t>
      </w:r>
      <w:r w:rsidR="0019289C" w:rsidRPr="0019289C">
        <w:rPr>
          <w:rFonts w:ascii="Cambria" w:hAnsi="Cambria"/>
        </w:rPr>
        <w:t>(predsjednik Povjerenstva)</w:t>
      </w:r>
    </w:p>
    <w:p w14:paraId="2C2272B8" w14:textId="77777777" w:rsidR="00A015EE" w:rsidRPr="0019289C" w:rsidRDefault="00A015EE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19289C">
        <w:rPr>
          <w:rFonts w:ascii="Cambria" w:hAnsi="Cambria"/>
        </w:rPr>
        <w:t>doc. dr. sc. Vinko Kovačić, o.d. prodekana za studijske programe i cjeloživotno obrazovanje</w:t>
      </w:r>
    </w:p>
    <w:p w14:paraId="26EC4731" w14:textId="77777777" w:rsidR="00A015EE" w:rsidRPr="0019289C" w:rsidRDefault="00A015EE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19289C">
        <w:rPr>
          <w:rFonts w:ascii="Cambria" w:hAnsi="Cambria"/>
        </w:rPr>
        <w:t>izv. prof. dr. sc. Krešimir Pavlina, o.d. prodekana za nastavu i studente</w:t>
      </w:r>
    </w:p>
    <w:p w14:paraId="5173E4F6" w14:textId="77777777" w:rsidR="00A015EE" w:rsidRPr="0019289C" w:rsidRDefault="00A015EE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19289C">
        <w:rPr>
          <w:rFonts w:ascii="Cambria" w:hAnsi="Cambria"/>
        </w:rPr>
        <w:t>izv. prof. dr. sc. Ana Munk, o.d. prodekanice za znanost i međunarodnu suradnju</w:t>
      </w:r>
    </w:p>
    <w:p w14:paraId="3E916875" w14:textId="77777777" w:rsidR="000851FB" w:rsidRDefault="00A015EE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19289C">
        <w:rPr>
          <w:rFonts w:ascii="Cambria" w:hAnsi="Cambria"/>
        </w:rPr>
        <w:t xml:space="preserve">doc. dr. sc. Helena Stublić (član), </w:t>
      </w:r>
    </w:p>
    <w:p w14:paraId="63CA4ABA" w14:textId="63A4A66C" w:rsidR="00A015EE" w:rsidRPr="0019289C" w:rsidRDefault="00A015EE" w:rsidP="000851FB">
      <w:pPr>
        <w:pStyle w:val="ListParagraph"/>
        <w:jc w:val="both"/>
        <w:rPr>
          <w:rFonts w:ascii="Cambria" w:hAnsi="Cambria"/>
        </w:rPr>
      </w:pPr>
      <w:r w:rsidRPr="0019289C">
        <w:rPr>
          <w:rFonts w:ascii="Cambria" w:hAnsi="Cambria"/>
        </w:rPr>
        <w:t>doc. dr. sc.  Barbara Kušević (zamjena)</w:t>
      </w:r>
    </w:p>
    <w:p w14:paraId="0937E86E" w14:textId="77777777" w:rsidR="000851FB" w:rsidRDefault="00A015EE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19289C">
        <w:rPr>
          <w:rFonts w:ascii="Cambria" w:hAnsi="Cambria"/>
        </w:rPr>
        <w:t>doc. dr. sc. Tanja Kuštović (član),</w:t>
      </w:r>
    </w:p>
    <w:p w14:paraId="62A1B3FC" w14:textId="40DC7617" w:rsidR="00A015EE" w:rsidRPr="0019289C" w:rsidRDefault="00A015EE" w:rsidP="000851FB">
      <w:pPr>
        <w:pStyle w:val="ListParagraph"/>
        <w:jc w:val="both"/>
        <w:rPr>
          <w:rFonts w:ascii="Cambria" w:hAnsi="Cambria"/>
        </w:rPr>
      </w:pPr>
      <w:r w:rsidRPr="0019289C">
        <w:rPr>
          <w:rFonts w:ascii="Cambria" w:hAnsi="Cambria"/>
        </w:rPr>
        <w:t>izv. prof. dr. sc. Petar Vuković (zamjena)</w:t>
      </w:r>
    </w:p>
    <w:p w14:paraId="12B891C8" w14:textId="77777777" w:rsidR="000851FB" w:rsidRDefault="00A015EE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19289C">
        <w:rPr>
          <w:rFonts w:ascii="Cambria" w:hAnsi="Cambria"/>
        </w:rPr>
        <w:t xml:space="preserve">doc. dr. sc. Kristina Grgić (član), </w:t>
      </w:r>
    </w:p>
    <w:p w14:paraId="7082B265" w14:textId="64AB17AF" w:rsidR="00A015EE" w:rsidRPr="0019289C" w:rsidRDefault="00A015EE" w:rsidP="000851FB">
      <w:pPr>
        <w:pStyle w:val="ListParagraph"/>
        <w:jc w:val="both"/>
        <w:rPr>
          <w:rFonts w:ascii="Cambria" w:hAnsi="Cambria"/>
        </w:rPr>
      </w:pPr>
      <w:r w:rsidRPr="0019289C">
        <w:rPr>
          <w:rFonts w:ascii="Cambria" w:hAnsi="Cambria"/>
        </w:rPr>
        <w:t>doc. dr. sc. Ana Vasung (zamjena)</w:t>
      </w:r>
    </w:p>
    <w:p w14:paraId="581C1360" w14:textId="77777777" w:rsidR="000851FB" w:rsidRDefault="00A015EE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19289C">
        <w:rPr>
          <w:rFonts w:ascii="Cambria" w:hAnsi="Cambria"/>
        </w:rPr>
        <w:t>dr. sc. Petra Matović (član),</w:t>
      </w:r>
    </w:p>
    <w:p w14:paraId="6102C373" w14:textId="7710BC7E" w:rsidR="00A015EE" w:rsidRPr="0019289C" w:rsidRDefault="00A015EE" w:rsidP="000851FB">
      <w:pPr>
        <w:pStyle w:val="ListParagraph"/>
        <w:jc w:val="both"/>
        <w:rPr>
          <w:rFonts w:ascii="Cambria" w:hAnsi="Cambria"/>
        </w:rPr>
      </w:pPr>
      <w:r w:rsidRPr="0019289C">
        <w:rPr>
          <w:rFonts w:ascii="Cambria" w:hAnsi="Cambria"/>
        </w:rPr>
        <w:t>doc. dr. sc. Maja Zovko (zamjena)</w:t>
      </w:r>
    </w:p>
    <w:p w14:paraId="15C760FB" w14:textId="77777777" w:rsidR="000851FB" w:rsidRDefault="00A015EE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19289C">
        <w:rPr>
          <w:rFonts w:ascii="Cambria" w:hAnsi="Cambria"/>
        </w:rPr>
        <w:t xml:space="preserve">doc. dr. sc. Tanja Trška (član), </w:t>
      </w:r>
    </w:p>
    <w:p w14:paraId="42110F3C" w14:textId="48202F67" w:rsidR="00A015EE" w:rsidRPr="0019289C" w:rsidRDefault="00A015EE" w:rsidP="000851FB">
      <w:pPr>
        <w:pStyle w:val="ListParagraph"/>
        <w:jc w:val="both"/>
        <w:rPr>
          <w:rFonts w:ascii="Cambria" w:hAnsi="Cambria"/>
        </w:rPr>
      </w:pPr>
      <w:r w:rsidRPr="0019289C">
        <w:rPr>
          <w:rFonts w:ascii="Cambria" w:hAnsi="Cambria"/>
        </w:rPr>
        <w:t>doc. dr. sc. Sanja Lončar (zamjena)</w:t>
      </w:r>
    </w:p>
    <w:p w14:paraId="755355A9" w14:textId="77777777" w:rsidR="000851FB" w:rsidRDefault="00A015EE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19289C">
        <w:rPr>
          <w:rFonts w:ascii="Cambria" w:hAnsi="Cambria"/>
        </w:rPr>
        <w:t>doc. dr. sc. Ivana Zagorac (član),</w:t>
      </w:r>
    </w:p>
    <w:p w14:paraId="23823F53" w14:textId="610AC5CE" w:rsidR="00A015EE" w:rsidRPr="0019289C" w:rsidRDefault="00A015EE" w:rsidP="000851FB">
      <w:pPr>
        <w:pStyle w:val="ListParagraph"/>
        <w:jc w:val="both"/>
        <w:rPr>
          <w:rFonts w:ascii="Cambria" w:hAnsi="Cambria"/>
        </w:rPr>
      </w:pPr>
      <w:r w:rsidRPr="0019289C">
        <w:rPr>
          <w:rFonts w:ascii="Cambria" w:hAnsi="Cambria"/>
        </w:rPr>
        <w:t>doc. dr. sc. Iva Kaić (zamjena)</w:t>
      </w:r>
    </w:p>
    <w:p w14:paraId="36B34D5D" w14:textId="77777777" w:rsidR="000851FB" w:rsidRDefault="00A015EE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19289C">
        <w:rPr>
          <w:rFonts w:ascii="Cambria" w:hAnsi="Cambria"/>
        </w:rPr>
        <w:t xml:space="preserve">Mirela Dakić (član), </w:t>
      </w:r>
    </w:p>
    <w:p w14:paraId="085DBA2B" w14:textId="190A2ED4" w:rsidR="00A015EE" w:rsidRPr="0019289C" w:rsidRDefault="00A015EE" w:rsidP="000851FB">
      <w:pPr>
        <w:pStyle w:val="ListParagraph"/>
        <w:jc w:val="both"/>
        <w:rPr>
          <w:rFonts w:ascii="Cambria" w:hAnsi="Cambria"/>
        </w:rPr>
      </w:pPr>
      <w:r w:rsidRPr="0019289C">
        <w:rPr>
          <w:rFonts w:ascii="Cambria" w:hAnsi="Cambria"/>
        </w:rPr>
        <w:t>Karlo Jurak (zamjena)</w:t>
      </w:r>
    </w:p>
    <w:p w14:paraId="312B7EC2" w14:textId="77777777" w:rsidR="000851FB" w:rsidRDefault="00A015EE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19289C">
        <w:rPr>
          <w:rFonts w:ascii="Cambria" w:hAnsi="Cambria"/>
        </w:rPr>
        <w:t xml:space="preserve">Melani Škrobar (član), </w:t>
      </w:r>
    </w:p>
    <w:p w14:paraId="0EBBCA0F" w14:textId="17ABB42A" w:rsidR="00A015EE" w:rsidRPr="0019289C" w:rsidRDefault="00A015EE" w:rsidP="000851FB">
      <w:pPr>
        <w:pStyle w:val="ListParagraph"/>
        <w:jc w:val="both"/>
        <w:rPr>
          <w:rFonts w:ascii="Cambria" w:hAnsi="Cambria"/>
        </w:rPr>
      </w:pPr>
      <w:r w:rsidRPr="0019289C">
        <w:rPr>
          <w:rFonts w:ascii="Cambria" w:hAnsi="Cambria"/>
        </w:rPr>
        <w:t>Tomislav Karlić (zamjena)</w:t>
      </w:r>
    </w:p>
    <w:p w14:paraId="69EC9197" w14:textId="77777777" w:rsidR="000851FB" w:rsidRDefault="00A015EE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19289C">
        <w:rPr>
          <w:rFonts w:ascii="Cambria" w:hAnsi="Cambria"/>
        </w:rPr>
        <w:t xml:space="preserve">Luka Vrljić (član), </w:t>
      </w:r>
    </w:p>
    <w:p w14:paraId="55434B09" w14:textId="6CAAA799" w:rsidR="00A015EE" w:rsidRPr="0019289C" w:rsidRDefault="00A015EE" w:rsidP="000851FB">
      <w:pPr>
        <w:pStyle w:val="ListParagraph"/>
        <w:jc w:val="both"/>
        <w:rPr>
          <w:rFonts w:ascii="Cambria" w:hAnsi="Cambria"/>
        </w:rPr>
      </w:pPr>
      <w:r w:rsidRPr="0019289C">
        <w:rPr>
          <w:rFonts w:ascii="Cambria" w:hAnsi="Cambria"/>
        </w:rPr>
        <w:t>Maja Osmančević (zamjena)</w:t>
      </w:r>
    </w:p>
    <w:p w14:paraId="02D4B178" w14:textId="77777777" w:rsidR="00A015EE" w:rsidRPr="0019289C" w:rsidRDefault="00A015EE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19289C">
        <w:rPr>
          <w:rFonts w:ascii="Cambria" w:hAnsi="Cambria"/>
        </w:rPr>
        <w:t>doc. dr. sc. Iva Ivanković</w:t>
      </w:r>
    </w:p>
    <w:p w14:paraId="78EF84CD" w14:textId="77777777" w:rsidR="00675010" w:rsidRDefault="00A015EE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19289C">
        <w:rPr>
          <w:rFonts w:ascii="Cambria" w:hAnsi="Cambria"/>
        </w:rPr>
        <w:t>Sanja Bahun-Golub (član),</w:t>
      </w:r>
    </w:p>
    <w:p w14:paraId="38D4E601" w14:textId="5055717C" w:rsidR="00A015EE" w:rsidRPr="0019289C" w:rsidRDefault="00A015EE" w:rsidP="00675010">
      <w:pPr>
        <w:pStyle w:val="ListParagraph"/>
        <w:jc w:val="both"/>
        <w:rPr>
          <w:rFonts w:ascii="Cambria" w:hAnsi="Cambria"/>
        </w:rPr>
      </w:pPr>
      <w:r w:rsidRPr="0019289C">
        <w:rPr>
          <w:rFonts w:ascii="Cambria" w:hAnsi="Cambria"/>
        </w:rPr>
        <w:t>Nikolina Knežević (zamjena)</w:t>
      </w:r>
    </w:p>
    <w:p w14:paraId="14392709" w14:textId="77777777" w:rsidR="00675010" w:rsidRDefault="00A015EE" w:rsidP="0019289C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19289C">
        <w:rPr>
          <w:rFonts w:ascii="Cambria" w:hAnsi="Cambria"/>
        </w:rPr>
        <w:t>prof. Helena Strugar (član),</w:t>
      </w:r>
    </w:p>
    <w:p w14:paraId="5E8943E4" w14:textId="386BA22B" w:rsidR="00A015EE" w:rsidRPr="0019289C" w:rsidRDefault="00A015EE" w:rsidP="00675010">
      <w:pPr>
        <w:pStyle w:val="ListParagraph"/>
        <w:jc w:val="both"/>
        <w:rPr>
          <w:rFonts w:ascii="Cambria" w:hAnsi="Cambria"/>
        </w:rPr>
      </w:pPr>
      <w:r w:rsidRPr="0019289C">
        <w:rPr>
          <w:rFonts w:ascii="Cambria" w:hAnsi="Cambria"/>
        </w:rPr>
        <w:t>prof. Alma Kalinski (zamjena)</w:t>
      </w:r>
    </w:p>
    <w:p w14:paraId="1462E822" w14:textId="77777777" w:rsidR="0019289C" w:rsidRDefault="0019289C" w:rsidP="008D3C59">
      <w:pPr>
        <w:jc w:val="both"/>
        <w:rPr>
          <w:rFonts w:ascii="Times New Roman" w:hAnsi="Times New Roman"/>
          <w:b/>
          <w:sz w:val="24"/>
          <w:szCs w:val="24"/>
        </w:rPr>
        <w:sectPr w:rsidR="0019289C" w:rsidSect="0019289C">
          <w:type w:val="continuous"/>
          <w:pgSz w:w="16838" w:h="11906" w:orient="landscape"/>
          <w:pgMar w:top="1440" w:right="1418" w:bottom="1440" w:left="2880" w:header="567" w:footer="40" w:gutter="0"/>
          <w:cols w:num="2" w:space="708"/>
          <w:docGrid w:linePitch="360"/>
        </w:sectPr>
      </w:pPr>
    </w:p>
    <w:p w14:paraId="79B659EC" w14:textId="77777777" w:rsidR="000851FB" w:rsidRPr="008B0E39" w:rsidRDefault="000851FB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14:paraId="40BD333D" w14:textId="77777777"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14:paraId="3727F5FC" w14:textId="77777777" w:rsidR="0019289C" w:rsidRDefault="0019289C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  <w:sectPr w:rsidR="0019289C" w:rsidSect="0019289C">
          <w:type w:val="continuous"/>
          <w:pgSz w:w="16838" w:h="11906" w:orient="landscape"/>
          <w:pgMar w:top="1440" w:right="1418" w:bottom="1440" w:left="2880" w:header="567" w:footer="40" w:gutter="0"/>
          <w:cols w:space="708"/>
          <w:docGrid w:linePitch="360"/>
        </w:sectPr>
      </w:pPr>
    </w:p>
    <w:p w14:paraId="491F93BA" w14:textId="77777777" w:rsidR="000851FB" w:rsidRDefault="008D3C59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>Datum sačinjavanja Plana aktivnosti:</w:t>
      </w:r>
      <w:r w:rsidR="008E5CCD" w:rsidRPr="008B0E39">
        <w:rPr>
          <w:rFonts w:ascii="Times New Roman" w:hAnsi="Times New Roman"/>
          <w:b/>
          <w:sz w:val="24"/>
          <w:szCs w:val="24"/>
        </w:rPr>
        <w:t xml:space="preserve">    </w:t>
      </w:r>
    </w:p>
    <w:p w14:paraId="40BD333E" w14:textId="68694599" w:rsidR="008E5CCD" w:rsidRPr="000851FB" w:rsidRDefault="0007020C" w:rsidP="008D3C59">
      <w:pPr>
        <w:tabs>
          <w:tab w:val="left" w:pos="228"/>
          <w:tab w:val="right" w:pos="8788"/>
        </w:tabs>
        <w:rPr>
          <w:rFonts w:ascii="Times New Roman" w:hAnsi="Times New Roman"/>
          <w:bCs/>
          <w:sz w:val="24"/>
          <w:szCs w:val="24"/>
        </w:rPr>
      </w:pPr>
      <w:r w:rsidRPr="000851FB">
        <w:rPr>
          <w:rFonts w:ascii="Times New Roman" w:hAnsi="Times New Roman"/>
          <w:bCs/>
          <w:sz w:val="24"/>
          <w:szCs w:val="24"/>
        </w:rPr>
        <w:t>30.</w:t>
      </w:r>
      <w:r w:rsidR="000851FB">
        <w:rPr>
          <w:rFonts w:ascii="Times New Roman" w:hAnsi="Times New Roman"/>
          <w:bCs/>
          <w:sz w:val="24"/>
          <w:szCs w:val="24"/>
        </w:rPr>
        <w:t xml:space="preserve"> </w:t>
      </w:r>
      <w:r w:rsidRPr="000851FB">
        <w:rPr>
          <w:rFonts w:ascii="Times New Roman" w:hAnsi="Times New Roman"/>
          <w:bCs/>
          <w:sz w:val="24"/>
          <w:szCs w:val="24"/>
        </w:rPr>
        <w:t>ruj</w:t>
      </w:r>
      <w:r w:rsidR="000851FB">
        <w:rPr>
          <w:rFonts w:ascii="Times New Roman" w:hAnsi="Times New Roman"/>
          <w:bCs/>
          <w:sz w:val="24"/>
          <w:szCs w:val="24"/>
        </w:rPr>
        <w:t>na</w:t>
      </w:r>
      <w:r w:rsidRPr="000851FB">
        <w:rPr>
          <w:rFonts w:ascii="Times New Roman" w:hAnsi="Times New Roman"/>
          <w:bCs/>
          <w:sz w:val="24"/>
          <w:szCs w:val="24"/>
        </w:rPr>
        <w:t xml:space="preserve"> 2020.</w:t>
      </w:r>
      <w:r w:rsidR="008D3C59" w:rsidRPr="000851FB">
        <w:rPr>
          <w:rFonts w:ascii="Times New Roman" w:hAnsi="Times New Roman"/>
          <w:bCs/>
          <w:sz w:val="24"/>
          <w:szCs w:val="24"/>
        </w:rPr>
        <w:tab/>
      </w:r>
    </w:p>
    <w:p w14:paraId="600C9930" w14:textId="77777777" w:rsidR="0019289C" w:rsidRDefault="0019289C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</w:p>
    <w:p w14:paraId="4B501924" w14:textId="77777777" w:rsidR="0019289C" w:rsidRDefault="0019289C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</w:p>
    <w:p w14:paraId="40BD3340" w14:textId="5D5FC0DB" w:rsidR="0007020C" w:rsidRDefault="0019289C" w:rsidP="000851FB">
      <w:pPr>
        <w:tabs>
          <w:tab w:val="right" w:pos="878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8D3C59" w:rsidRPr="008B0E39">
        <w:rPr>
          <w:rFonts w:ascii="Times New Roman" w:hAnsi="Times New Roman"/>
          <w:b/>
          <w:sz w:val="24"/>
          <w:szCs w:val="24"/>
        </w:rPr>
        <w:t>zvješće priprem</w:t>
      </w:r>
      <w:r w:rsidR="008E5CCD" w:rsidRPr="008B0E39">
        <w:rPr>
          <w:rFonts w:ascii="Times New Roman" w:hAnsi="Times New Roman"/>
          <w:b/>
          <w:sz w:val="24"/>
          <w:szCs w:val="24"/>
        </w:rPr>
        <w:t>i</w:t>
      </w:r>
      <w:r w:rsidR="0066538A">
        <w:rPr>
          <w:rFonts w:ascii="Times New Roman" w:hAnsi="Times New Roman"/>
          <w:b/>
          <w:sz w:val="24"/>
          <w:szCs w:val="24"/>
        </w:rPr>
        <w:t>o</w:t>
      </w:r>
      <w:r w:rsidR="00D45CB3">
        <w:rPr>
          <w:rFonts w:ascii="Times New Roman" w:hAnsi="Times New Roman"/>
          <w:b/>
          <w:sz w:val="24"/>
          <w:szCs w:val="24"/>
        </w:rPr>
        <w:t>:</w:t>
      </w:r>
    </w:p>
    <w:p w14:paraId="40BD3341" w14:textId="79EE3D1A" w:rsidR="0007020C" w:rsidRPr="000851FB" w:rsidRDefault="0066538A" w:rsidP="000851FB">
      <w:pPr>
        <w:tabs>
          <w:tab w:val="left" w:pos="2410"/>
          <w:tab w:val="right" w:pos="8788"/>
        </w:tabs>
        <w:jc w:val="center"/>
        <w:rPr>
          <w:rFonts w:ascii="Times New Roman" w:hAnsi="Times New Roman"/>
          <w:bCs/>
          <w:sz w:val="24"/>
          <w:szCs w:val="24"/>
        </w:rPr>
      </w:pPr>
      <w:r w:rsidRPr="000851FB">
        <w:rPr>
          <w:rFonts w:ascii="Times New Roman" w:hAnsi="Times New Roman"/>
          <w:bCs/>
          <w:sz w:val="24"/>
          <w:szCs w:val="24"/>
        </w:rPr>
        <w:t>dr. sc. Anton Vukelić</w:t>
      </w:r>
    </w:p>
    <w:p w14:paraId="191B6CFE" w14:textId="13D13EB7" w:rsidR="0019289C" w:rsidRPr="000851FB" w:rsidRDefault="00543087" w:rsidP="00D45CB3">
      <w:pPr>
        <w:tabs>
          <w:tab w:val="left" w:pos="228"/>
          <w:tab w:val="right" w:pos="8788"/>
        </w:tabs>
        <w:jc w:val="center"/>
        <w:rPr>
          <w:rFonts w:ascii="Times New Roman" w:hAnsi="Times New Roman"/>
          <w:bCs/>
          <w:sz w:val="24"/>
          <w:szCs w:val="24"/>
        </w:rPr>
        <w:sectPr w:rsidR="0019289C" w:rsidRPr="000851FB" w:rsidSect="0019289C">
          <w:type w:val="continuous"/>
          <w:pgSz w:w="16838" w:h="11906" w:orient="landscape"/>
          <w:pgMar w:top="1440" w:right="1418" w:bottom="1440" w:left="2880" w:header="567" w:footer="40" w:gutter="0"/>
          <w:cols w:num="2" w:space="708"/>
          <w:docGrid w:linePitch="360"/>
        </w:sectPr>
      </w:pPr>
      <w:r w:rsidRPr="000851FB">
        <w:rPr>
          <w:rFonts w:ascii="Times New Roman" w:hAnsi="Times New Roman"/>
          <w:bCs/>
          <w:sz w:val="24"/>
          <w:szCs w:val="24"/>
        </w:rPr>
        <w:t>Predsjednik</w:t>
      </w:r>
      <w:r w:rsidR="008E5CCD" w:rsidRPr="000851FB">
        <w:rPr>
          <w:rFonts w:ascii="Times New Roman" w:hAnsi="Times New Roman"/>
          <w:bCs/>
          <w:sz w:val="24"/>
          <w:szCs w:val="24"/>
        </w:rPr>
        <w:t xml:space="preserve"> Povjerenstva</w:t>
      </w:r>
    </w:p>
    <w:p w14:paraId="40BD3349" w14:textId="77777777" w:rsidR="003C403B" w:rsidRDefault="003C403B" w:rsidP="00D45CB3"/>
    <w:sectPr w:rsidR="003C403B" w:rsidSect="0019289C">
      <w:type w:val="continuous"/>
      <w:pgSz w:w="16838" w:h="11906" w:orient="landscape"/>
      <w:pgMar w:top="1440" w:right="1418" w:bottom="1440" w:left="2880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DA97E" w14:textId="77777777" w:rsidR="003967DB" w:rsidRDefault="003967DB">
      <w:pPr>
        <w:spacing w:after="0" w:line="240" w:lineRule="auto"/>
      </w:pPr>
      <w:r>
        <w:separator/>
      </w:r>
    </w:p>
  </w:endnote>
  <w:endnote w:type="continuationSeparator" w:id="0">
    <w:p w14:paraId="258D5D4B" w14:textId="77777777" w:rsidR="003967DB" w:rsidRDefault="0039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niZgLight">
    <w:altName w:val="Calibri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Display Normal"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D3352" w14:textId="5F8AE74C" w:rsidR="00CD2502" w:rsidRDefault="00A8463A" w:rsidP="004F16B8">
    <w:pPr>
      <w:pStyle w:val="BasicParagraph"/>
      <w:suppressAutoHyphens/>
      <w:spacing w:line="180" w:lineRule="atLeast"/>
      <w:ind w:left="1843"/>
      <w:rPr>
        <w:rFonts w:ascii="UniZgLight" w:hAnsi="UniZgLight" w:cs="UniZgLight"/>
        <w:sz w:val="16"/>
        <w:szCs w:val="16"/>
      </w:rPr>
    </w:pPr>
    <w:r>
      <w:rPr>
        <w:rFonts w:ascii="UniZgLight" w:hAnsi="UniZgLight" w:cs="UniZg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40BD3357" wp14:editId="65C8B314">
              <wp:simplePos x="0" y="0"/>
              <wp:positionH relativeFrom="column">
                <wp:posOffset>694054</wp:posOffset>
              </wp:positionH>
              <wp:positionV relativeFrom="paragraph">
                <wp:posOffset>27305</wp:posOffset>
              </wp:positionV>
              <wp:extent cx="0" cy="579120"/>
              <wp:effectExtent l="0" t="0" r="19050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91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9A901" id="Line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.65pt,2.15pt" to="54.6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" strokeweight=".25pt">
              <v:shadow opacity="22938f" offset="0"/>
            </v:line>
          </w:pict>
        </mc:Fallback>
      </mc:AlternateContent>
    </w:r>
  </w:p>
  <w:p w14:paraId="40BD3353" w14:textId="77777777" w:rsidR="00CD2502" w:rsidRPr="00E73831" w:rsidRDefault="008B0E39" w:rsidP="003B222D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 w:rsidRPr="00E73831">
      <w:rPr>
        <w:rFonts w:ascii="UniZgLight" w:hAnsi="UniZgLight" w:cs="UniZgLight"/>
        <w:color w:val="auto"/>
        <w:sz w:val="16"/>
        <w:szCs w:val="16"/>
      </w:rPr>
      <w:t>Sveu</w:t>
    </w:r>
    <w:r w:rsidRPr="00E73831">
      <w:rPr>
        <w:rFonts w:ascii="UniZgLight" w:hAnsi="UniZgLight" w:cs="Times New Roman"/>
        <w:color w:val="auto"/>
        <w:sz w:val="16"/>
        <w:szCs w:val="16"/>
      </w:rPr>
      <w:t>č</w:t>
    </w:r>
    <w:r w:rsidRPr="00E73831">
      <w:rPr>
        <w:rFonts w:ascii="UniZgLight" w:hAnsi="UniZgLight" w:cs="UniZgLight"/>
        <w:color w:val="auto"/>
        <w:sz w:val="16"/>
        <w:szCs w:val="16"/>
      </w:rPr>
      <w:t>ilište u Zagrebu, p.p. 407, Trg maršala Tita 14, HR-10000 Zagreb</w:t>
    </w:r>
  </w:p>
  <w:p w14:paraId="40BD3354" w14:textId="77777777" w:rsidR="00CD2502" w:rsidRPr="00E73831" w:rsidRDefault="008B0E39" w:rsidP="003B222D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>
      <w:rPr>
        <w:rFonts w:ascii="UniZgLight" w:hAnsi="UniZgLight" w:cs="UniZgLight"/>
        <w:color w:val="auto"/>
        <w:sz w:val="16"/>
        <w:szCs w:val="16"/>
      </w:rPr>
      <w:t>tel.: +385 (0)1 4698 112, 4698 125, 4698 186</w:t>
    </w:r>
  </w:p>
  <w:p w14:paraId="40BD3355" w14:textId="77777777" w:rsidR="00CD2502" w:rsidRPr="00E73831" w:rsidRDefault="008B0E39" w:rsidP="003B222D">
    <w:pPr>
      <w:spacing w:line="180" w:lineRule="atLeast"/>
      <w:ind w:left="1276"/>
      <w:rPr>
        <w:rFonts w:ascii="UniZgLight" w:hAnsi="UniZgLight" w:cs="UniZgLight"/>
        <w:sz w:val="16"/>
        <w:szCs w:val="16"/>
        <w:lang w:val="pt-BR"/>
      </w:rPr>
    </w:pPr>
    <w:r w:rsidRPr="00E73831">
      <w:rPr>
        <w:rFonts w:ascii="UniZgLight" w:hAnsi="UniZgLight" w:cs="UniZgLight"/>
        <w:sz w:val="16"/>
        <w:szCs w:val="16"/>
        <w:lang w:val="pt-BR"/>
      </w:rPr>
      <w:t xml:space="preserve">e-mail: </w:t>
    </w:r>
    <w:r>
      <w:rPr>
        <w:rFonts w:ascii="UniZgLight" w:hAnsi="UniZgLight" w:cs="UniZgLight"/>
        <w:sz w:val="16"/>
        <w:szCs w:val="16"/>
        <w:lang w:val="pt-BR"/>
      </w:rPr>
      <w:t>urkva</w:t>
    </w:r>
    <w:r w:rsidRPr="00E73831">
      <w:rPr>
        <w:rFonts w:ascii="UniZgLight" w:hAnsi="UniZgLight" w:cs="UniZgLight"/>
        <w:sz w:val="16"/>
        <w:szCs w:val="16"/>
        <w:lang w:val="pt-BR"/>
      </w:rPr>
      <w:t>@unizg.hr; url.: www.unizg.hr</w:t>
    </w:r>
  </w:p>
  <w:p w14:paraId="40BD3356" w14:textId="77777777" w:rsidR="00CD2502" w:rsidRPr="00291CD7" w:rsidRDefault="00653807" w:rsidP="00291CD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 w:rsidR="008B0E39"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605C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 w:rsidR="008B0E39">
      <w:rPr>
        <w:color w:val="323E4F" w:themeColor="text2" w:themeShade="BF"/>
        <w:sz w:val="24"/>
        <w:szCs w:val="24"/>
      </w:rPr>
      <w:t xml:space="preserve"> | </w:t>
    </w:r>
    <w:r w:rsidR="003967DB">
      <w:fldChar w:fldCharType="begin"/>
    </w:r>
    <w:r w:rsidR="003967DB">
      <w:instrText xml:space="preserve"> NUMPAGES  \* Arabic  \* MERGEFORMAT </w:instrText>
    </w:r>
    <w:r w:rsidR="003967DB">
      <w:fldChar w:fldCharType="separate"/>
    </w:r>
    <w:r w:rsidR="00B605C9" w:rsidRPr="00B605C9">
      <w:rPr>
        <w:noProof/>
        <w:color w:val="323E4F" w:themeColor="text2" w:themeShade="BF"/>
        <w:sz w:val="24"/>
        <w:szCs w:val="24"/>
      </w:rPr>
      <w:t>1</w:t>
    </w:r>
    <w:r w:rsidR="003967DB">
      <w:rPr>
        <w:noProof/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1EAE1" w14:textId="77777777" w:rsidR="003967DB" w:rsidRDefault="003967DB">
      <w:pPr>
        <w:spacing w:after="0" w:line="240" w:lineRule="auto"/>
      </w:pPr>
      <w:r>
        <w:separator/>
      </w:r>
    </w:p>
  </w:footnote>
  <w:footnote w:type="continuationSeparator" w:id="0">
    <w:p w14:paraId="79AC8BDA" w14:textId="77777777" w:rsidR="003967DB" w:rsidRDefault="0039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D3350" w14:textId="77777777" w:rsidR="00CD2502" w:rsidRDefault="003967DB">
    <w:pPr>
      <w:pStyle w:val="Header"/>
    </w:pPr>
  </w:p>
  <w:p w14:paraId="40BD3351" w14:textId="77777777" w:rsidR="00CD2502" w:rsidRDefault="00396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BBB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FA6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CE5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0157"/>
    <w:multiLevelType w:val="hybridMultilevel"/>
    <w:tmpl w:val="9EA81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30DB"/>
    <w:multiLevelType w:val="hybridMultilevel"/>
    <w:tmpl w:val="07F6BA0E"/>
    <w:lvl w:ilvl="0" w:tplc="D194B58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876CF"/>
    <w:multiLevelType w:val="hybridMultilevel"/>
    <w:tmpl w:val="969C437C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2FC2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87D41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35873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61996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01AE9"/>
    <w:multiLevelType w:val="hybridMultilevel"/>
    <w:tmpl w:val="9EA81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9257D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6590A"/>
    <w:multiLevelType w:val="hybridMultilevel"/>
    <w:tmpl w:val="969C437C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9619B"/>
    <w:multiLevelType w:val="hybridMultilevel"/>
    <w:tmpl w:val="79869674"/>
    <w:lvl w:ilvl="0" w:tplc="160C273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59"/>
    <w:rsid w:val="0004789C"/>
    <w:rsid w:val="0005477D"/>
    <w:rsid w:val="0007020C"/>
    <w:rsid w:val="000851FB"/>
    <w:rsid w:val="000D7567"/>
    <w:rsid w:val="000E4EE9"/>
    <w:rsid w:val="00143067"/>
    <w:rsid w:val="0019289C"/>
    <w:rsid w:val="00203DCA"/>
    <w:rsid w:val="00246FCF"/>
    <w:rsid w:val="00297E84"/>
    <w:rsid w:val="002E3C0E"/>
    <w:rsid w:val="00304E32"/>
    <w:rsid w:val="003967DB"/>
    <w:rsid w:val="003C3653"/>
    <w:rsid w:val="003C403B"/>
    <w:rsid w:val="00407995"/>
    <w:rsid w:val="004766B9"/>
    <w:rsid w:val="004864F3"/>
    <w:rsid w:val="00535A8B"/>
    <w:rsid w:val="00543087"/>
    <w:rsid w:val="00543A5D"/>
    <w:rsid w:val="005C7A5F"/>
    <w:rsid w:val="00633D71"/>
    <w:rsid w:val="00653807"/>
    <w:rsid w:val="0066538A"/>
    <w:rsid w:val="00675010"/>
    <w:rsid w:val="006E0B40"/>
    <w:rsid w:val="007773D4"/>
    <w:rsid w:val="007B4289"/>
    <w:rsid w:val="007F5554"/>
    <w:rsid w:val="008049F4"/>
    <w:rsid w:val="0089359B"/>
    <w:rsid w:val="008B0E39"/>
    <w:rsid w:val="008B2CFE"/>
    <w:rsid w:val="008D21ED"/>
    <w:rsid w:val="008D3C59"/>
    <w:rsid w:val="008E5CCD"/>
    <w:rsid w:val="009219B0"/>
    <w:rsid w:val="009E6E01"/>
    <w:rsid w:val="00A015EE"/>
    <w:rsid w:val="00A03668"/>
    <w:rsid w:val="00A8463A"/>
    <w:rsid w:val="00AC2428"/>
    <w:rsid w:val="00B605C9"/>
    <w:rsid w:val="00BB7B17"/>
    <w:rsid w:val="00CC56D5"/>
    <w:rsid w:val="00CD246E"/>
    <w:rsid w:val="00D45CB3"/>
    <w:rsid w:val="00D60FB9"/>
    <w:rsid w:val="00DF3A6D"/>
    <w:rsid w:val="00E8667F"/>
    <w:rsid w:val="00F91140"/>
    <w:rsid w:val="00FB29E5"/>
    <w:rsid w:val="00FF551E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D31C1"/>
  <w15:docId w15:val="{4CB0FDD5-5026-4ECF-BD08-974F5315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D3C59"/>
    <w:rPr>
      <w:rFonts w:ascii="Calibri" w:eastAsia="Calibri" w:hAnsi="Calibri" w:cs="Times New Roman"/>
    </w:rPr>
  </w:style>
  <w:style w:type="paragraph" w:customStyle="1" w:styleId="Body">
    <w:name w:val="Body"/>
    <w:basedOn w:val="Normal"/>
    <w:qFormat/>
    <w:locked/>
    <w:rsid w:val="008D3C59"/>
    <w:pPr>
      <w:spacing w:after="0" w:line="240" w:lineRule="auto"/>
    </w:pPr>
    <w:rPr>
      <w:rFonts w:ascii="UniZgLight" w:eastAsia="Cambria" w:hAnsi="UniZgLight" w:cs="Times New Roman"/>
      <w:szCs w:val="24"/>
      <w:lang w:val="en-US"/>
    </w:rPr>
  </w:style>
  <w:style w:type="paragraph" w:customStyle="1" w:styleId="BasicParagraph">
    <w:name w:val="[Basic Paragraph]"/>
    <w:basedOn w:val="Normal"/>
    <w:locked/>
    <w:rsid w:val="008D3C5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D3C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3C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D3C5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g.hr/fileadmin/rektorat/Studiji_studiranje/Studiji/Kvaliteta/Upravljanje_kvalitetom/Prirucnik-osiguravanje-kvalitete-we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1769</Words>
  <Characters>10086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Bozic Blanusa</dc:creator>
  <cp:lastModifiedBy>Ivana Sudarevic</cp:lastModifiedBy>
  <cp:revision>8</cp:revision>
  <dcterms:created xsi:type="dcterms:W3CDTF">2020-10-05T10:39:00Z</dcterms:created>
  <dcterms:modified xsi:type="dcterms:W3CDTF">2020-10-05T11:54:00Z</dcterms:modified>
</cp:coreProperties>
</file>